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50B677" w14:textId="2F529890" w:rsidR="008F5B03" w:rsidRPr="004A684C" w:rsidRDefault="009D6585" w:rsidP="006A6B97">
      <w:pPr>
        <w:jc w:val="both"/>
        <w:rPr>
          <w:sz w:val="24"/>
          <w:szCs w:val="24"/>
        </w:rPr>
      </w:pPr>
      <w:r w:rsidRPr="004A684C">
        <w:rPr>
          <w:sz w:val="24"/>
          <w:szCs w:val="24"/>
        </w:rPr>
        <w:t>ARTICLE DE RECHERCHE</w:t>
      </w:r>
    </w:p>
    <w:p w14:paraId="0EB3A4CE" w14:textId="7E6103C4" w:rsidR="004A684C" w:rsidRDefault="004A684C" w:rsidP="006A6B97">
      <w:pPr>
        <w:spacing w:after="0"/>
        <w:jc w:val="both"/>
        <w:rPr>
          <w:sz w:val="48"/>
          <w:szCs w:val="48"/>
        </w:rPr>
      </w:pPr>
      <w:r w:rsidRPr="004A684C">
        <w:rPr>
          <w:sz w:val="48"/>
          <w:szCs w:val="48"/>
        </w:rPr>
        <w:t xml:space="preserve">Les populations rurales exposées au virus Ebola réagissent positivement à la prise en charge </w:t>
      </w:r>
      <w:r w:rsidR="00992BEC">
        <w:rPr>
          <w:sz w:val="48"/>
          <w:szCs w:val="48"/>
        </w:rPr>
        <w:t xml:space="preserve">locale </w:t>
      </w:r>
      <w:r w:rsidRPr="004A684C">
        <w:rPr>
          <w:sz w:val="48"/>
          <w:szCs w:val="48"/>
        </w:rPr>
        <w:t>des cas</w:t>
      </w:r>
      <w:r w:rsidR="00992BEC">
        <w:rPr>
          <w:sz w:val="48"/>
          <w:szCs w:val="48"/>
        </w:rPr>
        <w:t xml:space="preserve"> </w:t>
      </w:r>
      <w:r w:rsidRPr="004A684C">
        <w:rPr>
          <w:sz w:val="48"/>
          <w:szCs w:val="48"/>
        </w:rPr>
        <w:t>: Cas concrets en Sierra Leone</w:t>
      </w:r>
    </w:p>
    <w:p w14:paraId="6D6F914A" w14:textId="179E86A2" w:rsidR="004A684C" w:rsidRDefault="004A684C" w:rsidP="006A6B97">
      <w:pPr>
        <w:jc w:val="both"/>
        <w:rPr>
          <w:sz w:val="24"/>
          <w:szCs w:val="24"/>
          <w:lang w:val="en-US"/>
        </w:rPr>
      </w:pPr>
      <w:r w:rsidRPr="004A684C">
        <w:rPr>
          <w:sz w:val="24"/>
          <w:szCs w:val="24"/>
          <w:lang w:val="en-US"/>
        </w:rPr>
        <w:t xml:space="preserve">Esther Yei </w:t>
      </w:r>
      <w:proofErr w:type="spellStart"/>
      <w:r w:rsidRPr="004A684C">
        <w:rPr>
          <w:sz w:val="24"/>
          <w:szCs w:val="24"/>
          <w:lang w:val="en-US"/>
        </w:rPr>
        <w:t>Mokuwa</w:t>
      </w:r>
      <w:proofErr w:type="spellEnd"/>
      <w:r>
        <w:rPr>
          <w:rStyle w:val="Appelnotedebasdep"/>
          <w:sz w:val="24"/>
          <w:szCs w:val="24"/>
        </w:rPr>
        <w:footnoteReference w:id="1"/>
      </w:r>
      <w:r w:rsidRPr="004A684C">
        <w:rPr>
          <w:sz w:val="24"/>
          <w:szCs w:val="24"/>
          <w:lang w:val="en-US"/>
        </w:rPr>
        <w:t xml:space="preserve">, </w:t>
      </w:r>
      <w:proofErr w:type="spellStart"/>
      <w:r w:rsidRPr="004A684C">
        <w:rPr>
          <w:sz w:val="24"/>
          <w:szCs w:val="24"/>
          <w:lang w:val="en-US"/>
        </w:rPr>
        <w:t>Harro</w:t>
      </w:r>
      <w:proofErr w:type="spellEnd"/>
      <w:r w:rsidRPr="004A684C">
        <w:rPr>
          <w:sz w:val="24"/>
          <w:szCs w:val="24"/>
          <w:lang w:val="en-US"/>
        </w:rPr>
        <w:t xml:space="preserve"> Maat</w:t>
      </w:r>
      <w:r>
        <w:rPr>
          <w:rStyle w:val="Appelnotedebasdep"/>
          <w:sz w:val="24"/>
          <w:szCs w:val="24"/>
        </w:rPr>
        <w:footnoteReference w:id="2"/>
      </w:r>
      <w:r w:rsidR="008C2990">
        <w:rPr>
          <w:sz w:val="24"/>
          <w:szCs w:val="24"/>
          <w:lang w:val="en-US"/>
        </w:rPr>
        <w:t xml:space="preserve"> </w:t>
      </w:r>
      <w:r w:rsidR="008C2990">
        <w:rPr>
          <w:rFonts w:cstheme="minorHAnsi"/>
          <w:sz w:val="24"/>
          <w:szCs w:val="24"/>
          <w:lang w:val="en-US"/>
        </w:rPr>
        <w:t>*</w:t>
      </w:r>
    </w:p>
    <w:p w14:paraId="1B775D00" w14:textId="77777777" w:rsidR="006A6B97" w:rsidRDefault="006A6B97" w:rsidP="006A6B97">
      <w:pPr>
        <w:jc w:val="both"/>
        <w:rPr>
          <w:sz w:val="36"/>
          <w:szCs w:val="36"/>
          <w:lang w:val="en-US"/>
        </w:rPr>
      </w:pPr>
    </w:p>
    <w:p w14:paraId="28D19506" w14:textId="687CEC05" w:rsidR="008C2990" w:rsidRPr="004F6BC0" w:rsidRDefault="008C2990" w:rsidP="006A6B97">
      <w:pPr>
        <w:jc w:val="both"/>
        <w:rPr>
          <w:sz w:val="36"/>
          <w:szCs w:val="36"/>
          <w:lang w:val="fr-CD"/>
        </w:rPr>
      </w:pPr>
      <w:r w:rsidRPr="004F6BC0">
        <w:rPr>
          <w:sz w:val="36"/>
          <w:szCs w:val="36"/>
          <w:lang w:val="fr-CD"/>
        </w:rPr>
        <w:t>Résumé</w:t>
      </w:r>
    </w:p>
    <w:p w14:paraId="224E75D5" w14:textId="75BB9A4C" w:rsidR="006A6B97" w:rsidRPr="006A6B97" w:rsidRDefault="006A6B97" w:rsidP="006A6B97">
      <w:pPr>
        <w:jc w:val="both"/>
        <w:rPr>
          <w:sz w:val="24"/>
          <w:szCs w:val="24"/>
          <w:lang w:val="fr-CD"/>
        </w:rPr>
      </w:pPr>
      <w:r w:rsidRPr="006A6B97">
        <w:rPr>
          <w:sz w:val="24"/>
          <w:szCs w:val="24"/>
          <w:lang w:val="fr-CD"/>
        </w:rPr>
        <w:t>Au point culminant de l'épidémie du virus Ebola en Sierra Leone en novembre 2014, une nouvelle approche décentralisée a été adoptée pour mettre fin aux chaînes d'infection. Cette approche était basée sur la construction de Centres de S</w:t>
      </w:r>
      <w:r w:rsidR="00933357">
        <w:rPr>
          <w:sz w:val="24"/>
          <w:szCs w:val="24"/>
          <w:lang w:val="fr-CD"/>
        </w:rPr>
        <w:t>oins</w:t>
      </w:r>
      <w:r w:rsidRPr="006A6B97">
        <w:rPr>
          <w:sz w:val="24"/>
          <w:szCs w:val="24"/>
          <w:lang w:val="fr-CD"/>
        </w:rPr>
        <w:t xml:space="preserve"> Communautaire (CSC) locaux, à petite échelle, destinés à servir d'unités de triage pour le traitement en toute sécurité des patients en attente de résultats de tests, avec un transfert ultérieur vers les Centres de Traitement du virus Ebola (CTE) pour ceux qui ont été testés positifs pour le virus Ebola. Ce document traite de la ré</w:t>
      </w:r>
      <w:r w:rsidR="00933357">
        <w:rPr>
          <w:sz w:val="24"/>
          <w:szCs w:val="24"/>
          <w:lang w:val="fr-CD"/>
        </w:rPr>
        <w:t>action</w:t>
      </w:r>
      <w:r w:rsidRPr="006A6B97">
        <w:rPr>
          <w:sz w:val="24"/>
          <w:szCs w:val="24"/>
          <w:lang w:val="fr-CD"/>
        </w:rPr>
        <w:t xml:space="preserve"> locale aux CSC et explique, par une analyse qualitative des ensembles de données des groupes de discussion, pourquoi cette évolution a été considérée, localement, sous une perspective positive. Les réponses de 562 participants aux groupes de discussion dans sept villages avec CSC et sept villages témoins voisins sans CSC sont évaluées. Ces données confirment que les CSC sont compatibles avec les valeurs communautaires concernant l'accès aux malades et les soins familiaux. Des réactions mitigées sont signalées dans le cas de "l'enterrement sûr", un processus qui remettait directement en cause l'activité rituelle considérée comme vitale pour le maintien de bonnes relations entre les familles rurales socialement asservies. L'acquisition de terres pour construire les CSC a suscité des réactions partagées. Cela reflète les problèmes de propriété foncière non résolus depuis l'époque coloniale entre les communautés et le gouvernement. L'étude donne un aperçu de la manière dont les écarts de compréhension entre les agents de riposte internationaux au virus Ebola et les communautés locales peuvent être comblés.</w:t>
      </w:r>
    </w:p>
    <w:p w14:paraId="370B3FC6" w14:textId="77777777" w:rsidR="006A6B97" w:rsidRPr="006A6B97" w:rsidRDefault="006A6B97" w:rsidP="006A6B97">
      <w:pPr>
        <w:jc w:val="both"/>
        <w:rPr>
          <w:sz w:val="24"/>
          <w:szCs w:val="24"/>
          <w:lang w:val="fr-CD"/>
        </w:rPr>
      </w:pPr>
    </w:p>
    <w:p w14:paraId="68105F10" w14:textId="77777777" w:rsidR="006A6B97" w:rsidRDefault="006A6B97" w:rsidP="006A6B97">
      <w:pPr>
        <w:jc w:val="both"/>
        <w:rPr>
          <w:sz w:val="36"/>
          <w:szCs w:val="36"/>
          <w:lang w:val="fr-CD"/>
        </w:rPr>
      </w:pPr>
    </w:p>
    <w:p w14:paraId="459A6F23" w14:textId="571BDBC0" w:rsidR="006A6B97" w:rsidRDefault="006A6B97" w:rsidP="006A6B97">
      <w:pPr>
        <w:jc w:val="both"/>
        <w:rPr>
          <w:sz w:val="36"/>
          <w:szCs w:val="36"/>
          <w:lang w:val="fr-CD"/>
        </w:rPr>
      </w:pPr>
      <w:r w:rsidRPr="006A6B97">
        <w:rPr>
          <w:sz w:val="36"/>
          <w:szCs w:val="36"/>
          <w:lang w:val="fr-CD"/>
        </w:rPr>
        <w:lastRenderedPageBreak/>
        <w:t>Résumé de l’auteur</w:t>
      </w:r>
    </w:p>
    <w:p w14:paraId="62CA4704" w14:textId="4C8B9741" w:rsidR="006A6B97" w:rsidRDefault="006A6B97" w:rsidP="006A6B97">
      <w:pPr>
        <w:jc w:val="both"/>
        <w:rPr>
          <w:sz w:val="24"/>
          <w:szCs w:val="24"/>
          <w:lang w:val="fr-CD"/>
        </w:rPr>
      </w:pPr>
      <w:r>
        <w:rPr>
          <w:noProof/>
          <w:sz w:val="24"/>
          <w:szCs w:val="24"/>
          <w:lang w:val="fr-CD"/>
        </w:rPr>
        <mc:AlternateContent>
          <mc:Choice Requires="wps">
            <w:drawing>
              <wp:anchor distT="0" distB="0" distL="114300" distR="114300" simplePos="0" relativeHeight="251659264" behindDoc="0" locked="0" layoutInCell="1" allowOverlap="1" wp14:anchorId="32DBEB9B" wp14:editId="6D435E75">
                <wp:simplePos x="0" y="0"/>
                <wp:positionH relativeFrom="column">
                  <wp:posOffset>-11772</wp:posOffset>
                </wp:positionH>
                <wp:positionV relativeFrom="paragraph">
                  <wp:posOffset>55050</wp:posOffset>
                </wp:positionV>
                <wp:extent cx="6328850" cy="4334607"/>
                <wp:effectExtent l="0" t="0" r="15240" b="27940"/>
                <wp:wrapNone/>
                <wp:docPr id="3" name="Rectangle 3"/>
                <wp:cNvGraphicFramePr/>
                <a:graphic xmlns:a="http://schemas.openxmlformats.org/drawingml/2006/main">
                  <a:graphicData uri="http://schemas.microsoft.com/office/word/2010/wordprocessingShape">
                    <wps:wsp>
                      <wps:cNvSpPr/>
                      <wps:spPr>
                        <a:xfrm>
                          <a:off x="0" y="0"/>
                          <a:ext cx="6328850" cy="4334607"/>
                        </a:xfrm>
                        <a:prstGeom prst="rect">
                          <a:avLst/>
                        </a:prstGeom>
                        <a:solidFill>
                          <a:schemeClr val="bg1">
                            <a:lumMod val="95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FE525E" w14:textId="72ECE2B1" w:rsidR="006A6B97" w:rsidRPr="009C4F19" w:rsidRDefault="00992BEC" w:rsidP="009C4F19">
                            <w:pPr>
                              <w:jc w:val="both"/>
                              <w:rPr>
                                <w:color w:val="000000" w:themeColor="text1"/>
                                <w:sz w:val="24"/>
                                <w:szCs w:val="24"/>
                                <w:lang w:val="fr-CD"/>
                              </w:rPr>
                            </w:pPr>
                            <w:r w:rsidRPr="009C4F19">
                              <w:rPr>
                                <w:color w:val="000000" w:themeColor="text1"/>
                                <w:sz w:val="24"/>
                                <w:szCs w:val="24"/>
                                <w:lang w:val="fr-CD"/>
                              </w:rPr>
                              <w:t>La lutte contre la maladie du virus Ebola nécessite des installations où les patients peuvent être isolés et traités en toute sécurité, sans risque pour le personnel médical ou les membres de leur famille. Lors de l'épidémie du virus Ebola de 2014-2015 en Sierra Leone, l'accent a d'abord été mis sur les grands hôpitaux de campagne connus sous le nom de Centres de Traitement du virus Ebola (CTE). Ces centres étaient souvent situés loin des zones où de nouveaux cas étaient découverts. Les patients se méfiaient de leur mission et leur lenteur à annoncer les résultats, et la maladie continuait de se propager. Six mois après le début de l'épidémie, une nouvelle approche a été tentée, basée sur des centres beaucoup plus petits et plus rapidement construits (Centres de S</w:t>
                            </w:r>
                            <w:r w:rsidR="00933357">
                              <w:rPr>
                                <w:color w:val="000000" w:themeColor="text1"/>
                                <w:sz w:val="24"/>
                                <w:szCs w:val="24"/>
                                <w:lang w:val="fr-CD"/>
                              </w:rPr>
                              <w:t>oins</w:t>
                            </w:r>
                            <w:r w:rsidRPr="009C4F19">
                              <w:rPr>
                                <w:color w:val="000000" w:themeColor="text1"/>
                                <w:sz w:val="24"/>
                                <w:szCs w:val="24"/>
                                <w:lang w:val="fr-CD"/>
                              </w:rPr>
                              <w:t xml:space="preserve"> Communautaires (CS</w:t>
                            </w:r>
                            <w:r w:rsidR="009C4F19" w:rsidRPr="009C4F19">
                              <w:rPr>
                                <w:color w:val="000000" w:themeColor="text1"/>
                                <w:sz w:val="24"/>
                                <w:szCs w:val="24"/>
                                <w:lang w:val="fr-CD"/>
                              </w:rPr>
                              <w:t>S</w:t>
                            </w:r>
                            <w:r w:rsidRPr="009C4F19">
                              <w:rPr>
                                <w:color w:val="000000" w:themeColor="text1"/>
                                <w:sz w:val="24"/>
                                <w:szCs w:val="24"/>
                                <w:lang w:val="fr-CD"/>
                              </w:rPr>
                              <w:t>) situés dans les zones où de nouveaux cas se produisaient. Ce document examine les réactions de la communauté aux CSC. Le sentiment d'appropriation de ces petits centres locaux par la communauté était beaucoup plus fort, et les délais de déclaration se sont améliorés. Les familles ont pu facilement visiter et observer les activités, même si elles n'ont pas pu franchir les lignes rouges. Le personnel était souvent local et fournissait des informations fiables sur les progrès des patients. Les familles ont pu préparer des repas à domicile pour les patients, ce qui, pensait-on, améliorait leur moral et leurs chances de survie. Les CSC étaient égalemen</w:t>
                            </w:r>
                            <w:r w:rsidR="009C4F19" w:rsidRPr="009C4F19">
                              <w:rPr>
                                <w:color w:val="000000" w:themeColor="text1"/>
                                <w:sz w:val="24"/>
                                <w:szCs w:val="24"/>
                                <w:lang w:val="fr-CD"/>
                              </w:rPr>
                              <w:t xml:space="preserve">t </w:t>
                            </w:r>
                            <w:r w:rsidRPr="009C4F19">
                              <w:rPr>
                                <w:color w:val="000000" w:themeColor="text1"/>
                                <w:sz w:val="24"/>
                                <w:szCs w:val="24"/>
                                <w:lang w:val="fr-CD"/>
                              </w:rPr>
                              <w:t xml:space="preserve">appréciés pour le traitement d'autres maladies, et pas seulement de la maladie à virus Ebola. L'orientation des patients vers le CTE était plus facile à accepter lorsque le résultat d'un test sanguin </w:t>
                            </w:r>
                            <w:r w:rsidR="009C4F19" w:rsidRPr="009C4F19">
                              <w:rPr>
                                <w:color w:val="000000" w:themeColor="text1"/>
                                <w:sz w:val="24"/>
                                <w:szCs w:val="24"/>
                                <w:lang w:val="fr-CD"/>
                              </w:rPr>
                              <w:t xml:space="preserve">du virus </w:t>
                            </w:r>
                            <w:r w:rsidRPr="009C4F19">
                              <w:rPr>
                                <w:color w:val="000000" w:themeColor="text1"/>
                                <w:sz w:val="24"/>
                                <w:szCs w:val="24"/>
                                <w:lang w:val="fr-CD"/>
                              </w:rPr>
                              <w:t xml:space="preserve">Ebola était connu. Il y avait quelques différences d'opinion sur les procédures "d'enterrement sûr" et l'acquisition de sites pour les CSC, mais dans l'ensemble, les CSC </w:t>
                            </w:r>
                            <w:r w:rsidR="009C4F19" w:rsidRPr="009C4F19">
                              <w:rPr>
                                <w:color w:val="000000" w:themeColor="text1"/>
                                <w:sz w:val="24"/>
                                <w:szCs w:val="24"/>
                                <w:lang w:val="fr-CD"/>
                              </w:rPr>
                              <w:t>étaient</w:t>
                            </w:r>
                            <w:r w:rsidRPr="009C4F19">
                              <w:rPr>
                                <w:color w:val="000000" w:themeColor="text1"/>
                                <w:sz w:val="24"/>
                                <w:szCs w:val="24"/>
                                <w:lang w:val="fr-CD"/>
                              </w:rPr>
                              <w:t xml:space="preserve"> bien acceptés par les communautés et étaient considérés localement comme un développement positif dans la lutte contre le virus Ebola.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DBEB9B" id="Rectangle 3" o:spid="_x0000_s1026" style="position:absolute;left:0;text-align:left;margin-left:-.95pt;margin-top:4.35pt;width:498.35pt;height:341.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" fillcolor="#f2f2f2 [3052]" strokecolor="white [3212]" strokeweight="1pt">
                <v:textbox>
                  <w:txbxContent>
                    <w:p w14:paraId="28FE525E" w14:textId="72ECE2B1" w:rsidR="006A6B97" w:rsidRPr="009C4F19" w:rsidRDefault="00992BEC" w:rsidP="009C4F19">
                      <w:pPr>
                        <w:jc w:val="both"/>
                        <w:rPr>
                          <w:color w:val="000000" w:themeColor="text1"/>
                          <w:sz w:val="24"/>
                          <w:szCs w:val="24"/>
                          <w:lang w:val="fr-CD"/>
                        </w:rPr>
                      </w:pPr>
                      <w:r w:rsidRPr="009C4F19">
                        <w:rPr>
                          <w:color w:val="000000" w:themeColor="text1"/>
                          <w:sz w:val="24"/>
                          <w:szCs w:val="24"/>
                          <w:lang w:val="fr-CD"/>
                        </w:rPr>
                        <w:t>La lutte contre la maladie du virus Ebola nécessite des installations où les patients peuvent être isolés et traités en toute sécurité, sans risque pour le personnel médical ou les membres de leur famille. Lors de l'épidémie du virus Ebola de 2014-2015 en Sierra Leone, l'accent a d'abord été mis sur les grands hôpitaux de campagne connus sous le nom de Centres de Traitement du virus Ebola (CTE). Ces centres étaient souvent situés loin des zones où de nouveaux cas étaient découverts. Les patients se méfiaient de leur mission et leur lenteur à annoncer les résultats, et la maladie continuait de se propager. Six mois après le début de l'épidémie, une nouvelle approche a été tentée, basée sur des centres beaucoup plus petits et plus rapidement construits (Centres de S</w:t>
                      </w:r>
                      <w:r w:rsidR="00933357">
                        <w:rPr>
                          <w:color w:val="000000" w:themeColor="text1"/>
                          <w:sz w:val="24"/>
                          <w:szCs w:val="24"/>
                          <w:lang w:val="fr-CD"/>
                        </w:rPr>
                        <w:t>oins</w:t>
                      </w:r>
                      <w:r w:rsidRPr="009C4F19">
                        <w:rPr>
                          <w:color w:val="000000" w:themeColor="text1"/>
                          <w:sz w:val="24"/>
                          <w:szCs w:val="24"/>
                          <w:lang w:val="fr-CD"/>
                        </w:rPr>
                        <w:t xml:space="preserve"> Communautaires (CS</w:t>
                      </w:r>
                      <w:r w:rsidR="009C4F19" w:rsidRPr="009C4F19">
                        <w:rPr>
                          <w:color w:val="000000" w:themeColor="text1"/>
                          <w:sz w:val="24"/>
                          <w:szCs w:val="24"/>
                          <w:lang w:val="fr-CD"/>
                        </w:rPr>
                        <w:t>S</w:t>
                      </w:r>
                      <w:r w:rsidRPr="009C4F19">
                        <w:rPr>
                          <w:color w:val="000000" w:themeColor="text1"/>
                          <w:sz w:val="24"/>
                          <w:szCs w:val="24"/>
                          <w:lang w:val="fr-CD"/>
                        </w:rPr>
                        <w:t>) situés dans les zones où de nouveaux cas se produisaient. Ce document examine les réactions de la communauté aux CSC. Le sentiment d'appropriation de ces petits centres locaux par la communauté était beaucoup plus fort, et les délais de déclaration se sont améliorés. Les familles ont pu facilement visiter et observer les activités, même si elles n'ont pas pu franchir les lignes rouges. Le personnel était souvent local et fournissait des informations fiables sur les progrès des patients. Les familles ont pu préparer des repas à domicile pour les patients, ce qui, pensait-on, améliorait leur moral et leurs chances de survie. Les CSC étaient égalemen</w:t>
                      </w:r>
                      <w:r w:rsidR="009C4F19" w:rsidRPr="009C4F19">
                        <w:rPr>
                          <w:color w:val="000000" w:themeColor="text1"/>
                          <w:sz w:val="24"/>
                          <w:szCs w:val="24"/>
                          <w:lang w:val="fr-CD"/>
                        </w:rPr>
                        <w:t xml:space="preserve">t </w:t>
                      </w:r>
                      <w:r w:rsidRPr="009C4F19">
                        <w:rPr>
                          <w:color w:val="000000" w:themeColor="text1"/>
                          <w:sz w:val="24"/>
                          <w:szCs w:val="24"/>
                          <w:lang w:val="fr-CD"/>
                        </w:rPr>
                        <w:t xml:space="preserve">appréciés pour le traitement d'autres maladies, et pas seulement de la maladie à virus Ebola. L'orientation des patients vers le CTE était plus facile à accepter lorsque le résultat d'un test sanguin </w:t>
                      </w:r>
                      <w:r w:rsidR="009C4F19" w:rsidRPr="009C4F19">
                        <w:rPr>
                          <w:color w:val="000000" w:themeColor="text1"/>
                          <w:sz w:val="24"/>
                          <w:szCs w:val="24"/>
                          <w:lang w:val="fr-CD"/>
                        </w:rPr>
                        <w:t xml:space="preserve">du virus </w:t>
                      </w:r>
                      <w:r w:rsidRPr="009C4F19">
                        <w:rPr>
                          <w:color w:val="000000" w:themeColor="text1"/>
                          <w:sz w:val="24"/>
                          <w:szCs w:val="24"/>
                          <w:lang w:val="fr-CD"/>
                        </w:rPr>
                        <w:t xml:space="preserve">Ebola était connu. Il y avait quelques différences d'opinion sur les procédures "d'enterrement sûr" et l'acquisition de sites pour les CSC, mais dans l'ensemble, les CSC </w:t>
                      </w:r>
                      <w:r w:rsidR="009C4F19" w:rsidRPr="009C4F19">
                        <w:rPr>
                          <w:color w:val="000000" w:themeColor="text1"/>
                          <w:sz w:val="24"/>
                          <w:szCs w:val="24"/>
                          <w:lang w:val="fr-CD"/>
                        </w:rPr>
                        <w:t>étaient</w:t>
                      </w:r>
                      <w:r w:rsidRPr="009C4F19">
                        <w:rPr>
                          <w:color w:val="000000" w:themeColor="text1"/>
                          <w:sz w:val="24"/>
                          <w:szCs w:val="24"/>
                          <w:lang w:val="fr-CD"/>
                        </w:rPr>
                        <w:t xml:space="preserve"> bien acceptés par les communautés et étaient considérés localement comme un développement positif dans la lutte contre le virus Ebola.</w:t>
                      </w:r>
                    </w:p>
                  </w:txbxContent>
                </v:textbox>
              </v:rect>
            </w:pict>
          </mc:Fallback>
        </mc:AlternateContent>
      </w:r>
    </w:p>
    <w:p w14:paraId="2236700F" w14:textId="1D75A1F4" w:rsidR="009C4F19" w:rsidRPr="009C4F19" w:rsidRDefault="009C4F19" w:rsidP="009C4F19">
      <w:pPr>
        <w:rPr>
          <w:sz w:val="24"/>
          <w:szCs w:val="24"/>
          <w:lang w:val="fr-CD"/>
        </w:rPr>
      </w:pPr>
    </w:p>
    <w:p w14:paraId="44D2D173" w14:textId="66BA1160" w:rsidR="009C4F19" w:rsidRPr="009C4F19" w:rsidRDefault="009C4F19" w:rsidP="009C4F19">
      <w:pPr>
        <w:rPr>
          <w:sz w:val="24"/>
          <w:szCs w:val="24"/>
          <w:lang w:val="fr-CD"/>
        </w:rPr>
      </w:pPr>
    </w:p>
    <w:p w14:paraId="0B397F99" w14:textId="37E0BD64" w:rsidR="009C4F19" w:rsidRPr="009C4F19" w:rsidRDefault="009C4F19" w:rsidP="009C4F19">
      <w:pPr>
        <w:rPr>
          <w:sz w:val="24"/>
          <w:szCs w:val="24"/>
          <w:lang w:val="fr-CD"/>
        </w:rPr>
      </w:pPr>
    </w:p>
    <w:p w14:paraId="43CE70A2" w14:textId="61C3BF61" w:rsidR="009C4F19" w:rsidRPr="009C4F19" w:rsidRDefault="009C4F19" w:rsidP="009C4F19">
      <w:pPr>
        <w:rPr>
          <w:sz w:val="24"/>
          <w:szCs w:val="24"/>
          <w:lang w:val="fr-CD"/>
        </w:rPr>
      </w:pPr>
    </w:p>
    <w:p w14:paraId="2D91E5D9" w14:textId="512B881A" w:rsidR="009C4F19" w:rsidRPr="009C4F19" w:rsidRDefault="009C4F19" w:rsidP="009C4F19">
      <w:pPr>
        <w:rPr>
          <w:sz w:val="24"/>
          <w:szCs w:val="24"/>
          <w:lang w:val="fr-CD"/>
        </w:rPr>
      </w:pPr>
    </w:p>
    <w:p w14:paraId="0E113839" w14:textId="45A68FF7" w:rsidR="009C4F19" w:rsidRPr="009C4F19" w:rsidRDefault="009C4F19" w:rsidP="009C4F19">
      <w:pPr>
        <w:rPr>
          <w:sz w:val="24"/>
          <w:szCs w:val="24"/>
          <w:lang w:val="fr-CD"/>
        </w:rPr>
      </w:pPr>
    </w:p>
    <w:p w14:paraId="21EDC57B" w14:textId="39BDD5DA" w:rsidR="009C4F19" w:rsidRPr="009C4F19" w:rsidRDefault="009C4F19" w:rsidP="009C4F19">
      <w:pPr>
        <w:rPr>
          <w:sz w:val="24"/>
          <w:szCs w:val="24"/>
          <w:lang w:val="fr-CD"/>
        </w:rPr>
      </w:pPr>
    </w:p>
    <w:p w14:paraId="42C1E1B0" w14:textId="22FC0072" w:rsidR="009C4F19" w:rsidRPr="009C4F19" w:rsidRDefault="009C4F19" w:rsidP="009C4F19">
      <w:pPr>
        <w:rPr>
          <w:sz w:val="24"/>
          <w:szCs w:val="24"/>
          <w:lang w:val="fr-CD"/>
        </w:rPr>
      </w:pPr>
    </w:p>
    <w:p w14:paraId="38A9D148" w14:textId="65CE9603" w:rsidR="009C4F19" w:rsidRPr="009C4F19" w:rsidRDefault="009C4F19" w:rsidP="009C4F19">
      <w:pPr>
        <w:rPr>
          <w:sz w:val="24"/>
          <w:szCs w:val="24"/>
          <w:lang w:val="fr-CD"/>
        </w:rPr>
      </w:pPr>
    </w:p>
    <w:p w14:paraId="415DEFA5" w14:textId="4BBF5EC3" w:rsidR="009C4F19" w:rsidRPr="009C4F19" w:rsidRDefault="009C4F19" w:rsidP="009C4F19">
      <w:pPr>
        <w:rPr>
          <w:sz w:val="24"/>
          <w:szCs w:val="24"/>
          <w:lang w:val="fr-CD"/>
        </w:rPr>
      </w:pPr>
    </w:p>
    <w:p w14:paraId="07A3462B" w14:textId="1DC7A59B" w:rsidR="009C4F19" w:rsidRPr="009C4F19" w:rsidRDefault="009C4F19" w:rsidP="009C4F19">
      <w:pPr>
        <w:rPr>
          <w:sz w:val="24"/>
          <w:szCs w:val="24"/>
          <w:lang w:val="fr-CD"/>
        </w:rPr>
      </w:pPr>
    </w:p>
    <w:p w14:paraId="0F28F7D0" w14:textId="31B7AB7F" w:rsidR="009C4F19" w:rsidRPr="009C4F19" w:rsidRDefault="009C4F19" w:rsidP="009C4F19">
      <w:pPr>
        <w:rPr>
          <w:sz w:val="24"/>
          <w:szCs w:val="24"/>
          <w:lang w:val="fr-CD"/>
        </w:rPr>
      </w:pPr>
    </w:p>
    <w:p w14:paraId="6E3B052B" w14:textId="6942413F" w:rsidR="009C4F19" w:rsidRPr="009C4F19" w:rsidRDefault="009C4F19" w:rsidP="009C4F19">
      <w:pPr>
        <w:rPr>
          <w:sz w:val="24"/>
          <w:szCs w:val="24"/>
          <w:lang w:val="fr-CD"/>
        </w:rPr>
      </w:pPr>
    </w:p>
    <w:p w14:paraId="2DCE0D31" w14:textId="3F96B79E" w:rsidR="009C4F19" w:rsidRDefault="009C4F19" w:rsidP="009C4F19">
      <w:pPr>
        <w:rPr>
          <w:sz w:val="24"/>
          <w:szCs w:val="24"/>
          <w:lang w:val="fr-CD"/>
        </w:rPr>
      </w:pPr>
    </w:p>
    <w:p w14:paraId="140EF80D" w14:textId="67F45337" w:rsidR="009C4F19" w:rsidRPr="009C4F19" w:rsidRDefault="009C4F19" w:rsidP="009C4F19">
      <w:pPr>
        <w:rPr>
          <w:b/>
          <w:bCs/>
          <w:sz w:val="32"/>
          <w:szCs w:val="32"/>
          <w:lang w:val="fr-CD"/>
        </w:rPr>
      </w:pPr>
      <w:r w:rsidRPr="009C4F19">
        <w:rPr>
          <w:b/>
          <w:bCs/>
          <w:sz w:val="32"/>
          <w:szCs w:val="32"/>
          <w:lang w:val="fr-CD"/>
        </w:rPr>
        <w:t>Introduction</w:t>
      </w:r>
    </w:p>
    <w:p w14:paraId="0C5033ED" w14:textId="6D520581" w:rsidR="00933357" w:rsidRPr="00933357" w:rsidRDefault="00933357" w:rsidP="00933357">
      <w:pPr>
        <w:jc w:val="both"/>
        <w:rPr>
          <w:sz w:val="24"/>
          <w:szCs w:val="24"/>
          <w:lang w:val="fr-CD"/>
        </w:rPr>
      </w:pPr>
      <w:r w:rsidRPr="00933357">
        <w:rPr>
          <w:sz w:val="24"/>
          <w:szCs w:val="24"/>
          <w:lang w:val="fr-CD"/>
        </w:rPr>
        <w:t xml:space="preserve">Lors de l'épidémie de 2014-2015, la Sierra Leone a enregistré un total de 8 630 cas de maladie du virus Ebola (MVE) confirmés en laboratoire </w:t>
      </w:r>
      <w:r w:rsidR="00067A0F">
        <w:rPr>
          <w:sz w:val="24"/>
          <w:szCs w:val="24"/>
          <w:lang w:val="fr-CD"/>
        </w:rPr>
        <w:t>(</w:t>
      </w:r>
      <w:r w:rsidRPr="00933357">
        <w:rPr>
          <w:sz w:val="24"/>
          <w:szCs w:val="24"/>
          <w:lang w:val="fr-CD"/>
        </w:rPr>
        <w:t>[1]</w:t>
      </w:r>
      <w:r w:rsidR="00067A0F">
        <w:rPr>
          <w:sz w:val="24"/>
          <w:szCs w:val="24"/>
          <w:lang w:val="fr-CD"/>
        </w:rPr>
        <w:t xml:space="preserve"> dans les références)</w:t>
      </w:r>
      <w:r w:rsidRPr="00933357">
        <w:rPr>
          <w:sz w:val="24"/>
          <w:szCs w:val="24"/>
          <w:lang w:val="fr-CD"/>
        </w:rPr>
        <w:t xml:space="preserve">. La communauté internationale a construit des centres de traitement du virus Ebola (CTE) comme un élément clé dans la riposte à l'épidémie. Il s'agissait d'installations dotées d'un contrôle de biosécurité très strict, capables de traiter 100 cas ou plus à la fois. La Fédération internationale de la Croix-Rouge et du Croissant-Rouge (FICR) a ouvert un tel centre à </w:t>
      </w:r>
      <w:proofErr w:type="spellStart"/>
      <w:r w:rsidRPr="00933357">
        <w:rPr>
          <w:sz w:val="24"/>
          <w:szCs w:val="24"/>
          <w:lang w:val="fr-CD"/>
        </w:rPr>
        <w:t>Nganyahun</w:t>
      </w:r>
      <w:proofErr w:type="spellEnd"/>
      <w:r w:rsidRPr="00933357">
        <w:rPr>
          <w:sz w:val="24"/>
          <w:szCs w:val="24"/>
          <w:lang w:val="fr-CD"/>
        </w:rPr>
        <w:t xml:space="preserve">, à une dizaine de kilomètres au nord de Kenema, en septembre 2014, suivi par d'autres unités à Bo, Freetown et Makeni (tous des sites urbains). </w:t>
      </w:r>
    </w:p>
    <w:p w14:paraId="7BE4C204" w14:textId="77777777" w:rsidR="00933357" w:rsidRPr="00933357" w:rsidRDefault="00933357" w:rsidP="00933357">
      <w:pPr>
        <w:jc w:val="both"/>
        <w:rPr>
          <w:sz w:val="24"/>
          <w:szCs w:val="24"/>
          <w:lang w:val="fr-CD"/>
        </w:rPr>
      </w:pPr>
      <w:r w:rsidRPr="00933357">
        <w:rPr>
          <w:sz w:val="24"/>
          <w:szCs w:val="24"/>
          <w:lang w:val="fr-CD"/>
        </w:rPr>
        <w:t xml:space="preserve">Au départ, les communautés considéraient les CTE comme des lieux éloignés et hostiles où les patients allaient mourir. Les familles craignaient que les patients ne soient transportés de force vers un tel établissement. Le manque de capacité d'accueil au point culminant de l'épidémie, </w:t>
      </w:r>
      <w:r w:rsidRPr="00933357">
        <w:rPr>
          <w:sz w:val="24"/>
          <w:szCs w:val="24"/>
          <w:lang w:val="fr-CD"/>
        </w:rPr>
        <w:lastRenderedPageBreak/>
        <w:t xml:space="preserve">associé au malaise de la communauté, a conduit à une approche modifiée - la construction d'une série de 55 petits Centres de Soins communautaires (CSC), à partir de novembre 2014. Ces centres ont été établis dans des zones à forte transmission, loin de la capitale et des CTE, avec un accès réduit au transport. Les établissements de santé ruraux existants (centres de santé publique, CSP) ont été jugés insuffisamment "protecteurs" en termes de contrôle des infections pour accueillir les patients atteints de la maladie à virus Ebola. En outre, de nombreux villages craignaient d'utiliser les centres de santé par crainte de contracter le virus Ebola. Certains CSC étaient situés sur les terrains des CSP et étaient destinés à permettre aux cas plus "routiniers" (non suspects d'Ebola) d'utiliser les installations des CSP de manière plus sûre. La durée moyenne de construction était d'environ deux semaines, et les CSC étaient dotés d'un personnel médical et non médical local et de quelques volontaires internationaux. </w:t>
      </w:r>
    </w:p>
    <w:p w14:paraId="11F41921" w14:textId="77777777" w:rsidR="00933357" w:rsidRPr="00933357" w:rsidRDefault="00933357" w:rsidP="00933357">
      <w:pPr>
        <w:jc w:val="both"/>
        <w:rPr>
          <w:sz w:val="24"/>
          <w:szCs w:val="24"/>
          <w:lang w:val="fr-CD"/>
        </w:rPr>
      </w:pPr>
      <w:r w:rsidRPr="00933357">
        <w:rPr>
          <w:sz w:val="24"/>
          <w:szCs w:val="24"/>
          <w:lang w:val="fr-CD"/>
        </w:rPr>
        <w:t xml:space="preserve">Bien que la meilleure stratégie puisse être d'isoler et de tester tous les cas suspects dans les CTE aussi rapidement que possible (dans les trois premiers jours suivant l'apparition des symptômes de forte fièvre), celle-ci a été compromise, en Sierra Leone, par la résistance des patients et le manque de capacité. La peur du CTE a conduit à la dissimulation des patients [1]. La pénurie de lits a également entravé la réponse au virus Ebola. En octobre 2014, il n'y avait que 287 lits dans quatre centres de traitement d'urgence, tous situés dans des centres urbains [2]. Les lieux (notamment Bo et Kenema) étaient éloignés des endroits où les nouveaux cas se produisaient (à Freetown, </w:t>
      </w:r>
      <w:proofErr w:type="spellStart"/>
      <w:r w:rsidRPr="00933357">
        <w:rPr>
          <w:sz w:val="24"/>
          <w:szCs w:val="24"/>
          <w:lang w:val="fr-CD"/>
        </w:rPr>
        <w:t>Kono</w:t>
      </w:r>
      <w:proofErr w:type="spellEnd"/>
      <w:r w:rsidRPr="00933357">
        <w:rPr>
          <w:sz w:val="24"/>
          <w:szCs w:val="24"/>
          <w:lang w:val="fr-CD"/>
        </w:rPr>
        <w:t xml:space="preserve"> et dans le nord). La prise en charge in situ a été envisagée mais rejetée. Donner aux familles un équipement de protection individuelle (EPI) pour minimiser la transmission pendant que les patients sont soignés à domicile serait problématique. L'utilisation sûre de l'EPI est difficile, même pour les professionnels, et le pays manque de formateurs pour enseigner aux familles les compétences nécessaires en matière de soins infirmiers [3]. </w:t>
      </w:r>
    </w:p>
    <w:p w14:paraId="37E0A13F" w14:textId="6C9D2DF8" w:rsidR="009C4F19" w:rsidRDefault="00933357" w:rsidP="00933357">
      <w:pPr>
        <w:jc w:val="both"/>
        <w:rPr>
          <w:sz w:val="24"/>
          <w:szCs w:val="24"/>
          <w:lang w:val="fr-CD"/>
        </w:rPr>
      </w:pPr>
      <w:r w:rsidRPr="00933357">
        <w:rPr>
          <w:sz w:val="24"/>
          <w:szCs w:val="24"/>
          <w:lang w:val="fr-CD"/>
        </w:rPr>
        <w:t>À la demande du gouvernement et avec l'approbation de l'OMS, les responsables de la riposte à la MVE en Sierra Leone ont décidé de soutenir une autre approche - la recherche passive de cas avec isolement de la communauté. Les personnes suspectées d'être atteintes de la MVE seront encouragées à se rassembler dans des unités où elles recevront des soins de base et éviteront d'infecter leur famille [3]. Il a été décidé que de nombreuses petites unités seraient préférables à quelques grandes, car elles pourraient être placées plus près des zones à risque d'une maladie qui se déplace par étapes complexes et non linéaires [4]. Le plan initial était de construire jusqu'à 200 CSC, bien qu'au final seules 55 unités aient été nécessaires, dans 5 districts de la Sierra Leone, en raison de la baisse du nombre de cas à partir de janvier 2015. Ces unités plus petites pourraient être placées plus près des communautés ayant de nouvelles infections que les CTE qu'elles complètent.</w:t>
      </w:r>
    </w:p>
    <w:p w14:paraId="0ED93837" w14:textId="0FAD5BF2" w:rsidR="00436D7D" w:rsidRPr="00436D7D" w:rsidRDefault="00436D7D" w:rsidP="00436D7D">
      <w:pPr>
        <w:jc w:val="both"/>
        <w:rPr>
          <w:sz w:val="24"/>
          <w:szCs w:val="24"/>
          <w:lang w:val="fr-CD"/>
        </w:rPr>
      </w:pPr>
      <w:r w:rsidRPr="00436D7D">
        <w:rPr>
          <w:sz w:val="24"/>
          <w:szCs w:val="24"/>
          <w:lang w:val="fr-CD"/>
        </w:rPr>
        <w:t>Des mesures d'incitation à l'</w:t>
      </w:r>
      <w:r w:rsidR="00067A0F" w:rsidRPr="00436D7D">
        <w:rPr>
          <w:sz w:val="24"/>
          <w:szCs w:val="24"/>
          <w:lang w:val="fr-CD"/>
        </w:rPr>
        <w:t>auto</w:t>
      </w:r>
      <w:r w:rsidR="00067A0F">
        <w:rPr>
          <w:sz w:val="24"/>
          <w:szCs w:val="24"/>
          <w:lang w:val="fr-CD"/>
        </w:rPr>
        <w:t xml:space="preserve"> </w:t>
      </w:r>
      <w:r w:rsidR="00067A0F" w:rsidRPr="00436D7D">
        <w:rPr>
          <w:sz w:val="24"/>
          <w:szCs w:val="24"/>
          <w:lang w:val="fr-CD"/>
        </w:rPr>
        <w:t>déclaration</w:t>
      </w:r>
      <w:r w:rsidR="00067A0F">
        <w:rPr>
          <w:sz w:val="24"/>
          <w:szCs w:val="24"/>
          <w:lang w:val="fr-CD"/>
        </w:rPr>
        <w:t xml:space="preserve"> – </w:t>
      </w:r>
      <w:r w:rsidRPr="00436D7D">
        <w:rPr>
          <w:sz w:val="24"/>
          <w:szCs w:val="24"/>
          <w:lang w:val="fr-CD"/>
        </w:rPr>
        <w:t>alimentation</w:t>
      </w:r>
      <w:r w:rsidR="00067A0F">
        <w:rPr>
          <w:sz w:val="24"/>
          <w:szCs w:val="24"/>
          <w:lang w:val="fr-CD"/>
        </w:rPr>
        <w:t xml:space="preserve"> </w:t>
      </w:r>
      <w:r w:rsidRPr="00436D7D">
        <w:rPr>
          <w:sz w:val="24"/>
          <w:szCs w:val="24"/>
          <w:lang w:val="fr-CD"/>
        </w:rPr>
        <w:t xml:space="preserve">des patients, et fourniture de soins médicaux de qualité pour les personnes triées comme étant Ebola négatif - ont été adoptées sur </w:t>
      </w:r>
      <w:r w:rsidRPr="00436D7D">
        <w:rPr>
          <w:sz w:val="24"/>
          <w:szCs w:val="24"/>
          <w:lang w:val="fr-CD"/>
        </w:rPr>
        <w:lastRenderedPageBreak/>
        <w:t>la base des conseils fournis par les chercheurs en sciences sociales [3, 5]. Les buts et objectifs fondamentaux des CSC étaient d'isoler les patients dans des endroits où il n'y avait pas de CTE. Un article paru dans le Journal médical britannique du 12 novembre 2014 [6] résume la controverse que le plan des CSC a provoquée. Un représentant de Médecins sans Frontières (MSF) s'est présenté devant la commission parlementaire britannique pour le développement international afin de faire valoir que "la façon dont les CSC fonctionnent, la façon dont ils responsabilisent la communauté et la façon dont ils sont conçus, n'est pas quelque chose que MSF soutient pour l'instant". Un responsable de MSF ayant une expérience en Sierra Leone a ajouté que "les centres de rétention existants sont déjà proches des patients". Ce point de vue a été contredit par un épidémiologiste qui a déclaré "Nous avons besoin d'installations plus proches des patients (...) transporter des patients pendant des heures à l'arrière d'ambulances inconfortables n'est pas (...) propice à l'accès des patients à un traitement immédiat" [6]. Après avoir pesé les arguments, les autorités de Sierra Leone et du Royaume-Uni ont donné leur feu vert à la poursuite de la procédure.</w:t>
      </w:r>
    </w:p>
    <w:p w14:paraId="3E4E53F2" w14:textId="77777777" w:rsidR="00436D7D" w:rsidRPr="00436D7D" w:rsidRDefault="00436D7D" w:rsidP="00436D7D">
      <w:pPr>
        <w:jc w:val="both"/>
        <w:rPr>
          <w:sz w:val="24"/>
          <w:szCs w:val="24"/>
          <w:lang w:val="fr-CD"/>
        </w:rPr>
      </w:pPr>
      <w:r w:rsidRPr="00436D7D">
        <w:rPr>
          <w:sz w:val="24"/>
          <w:szCs w:val="24"/>
          <w:lang w:val="fr-CD"/>
        </w:rPr>
        <w:t xml:space="preserve">Les CSC étaient </w:t>
      </w:r>
      <w:proofErr w:type="gramStart"/>
      <w:r w:rsidRPr="00436D7D">
        <w:rPr>
          <w:sz w:val="24"/>
          <w:szCs w:val="24"/>
          <w:lang w:val="fr-CD"/>
        </w:rPr>
        <w:t>destinés</w:t>
      </w:r>
      <w:proofErr w:type="gramEnd"/>
      <w:r w:rsidRPr="00436D7D">
        <w:rPr>
          <w:sz w:val="24"/>
          <w:szCs w:val="24"/>
          <w:lang w:val="fr-CD"/>
        </w:rPr>
        <w:t xml:space="preserve"> à servir d'unités de triage accessibles dans les zones où le nombre de cas était en augmentation. Elles permettaient de traiter en toute sécurité les patients en attente de résultats de tests, avec un transfert ultérieur vers le CTE pour ceux dont le diagnostic était positif, et un traitement pour ceux dont on découvrait qu'ils souffraient d'autres maladies. Cet article documente les réponses de la communauté aux CSC et explique pourquoi cette évolution a été perçue, localement, de manière positive. Ces nouveaux centres de riposte au virus Ebola ont été considérés avec scepticisme par certains intervenants internationaux, qui craignaient qu'ils ne propagent l'infection, mais ont été vus sous un jour plus favorable par les communautés locales. Il est démontré qu'un facteur majeur était que les CSC tenaient compte des attentes culturelles locales concernant le rôle de la famille dans les soins aux malades. Les proches, vivants ou morts, étaient traités avec respect, et d'autres maladies étaient également traitées. Construit selon un concept partiellement ouvert, les CSC donnaient aux familles la possibilité de suivre les progrès d'un patient [5]. </w:t>
      </w:r>
    </w:p>
    <w:p w14:paraId="64F973C9" w14:textId="7354836D" w:rsidR="00436D7D" w:rsidRDefault="00436D7D" w:rsidP="00436D7D">
      <w:pPr>
        <w:jc w:val="both"/>
        <w:rPr>
          <w:sz w:val="24"/>
          <w:szCs w:val="24"/>
          <w:lang w:val="fr-CD"/>
        </w:rPr>
      </w:pPr>
      <w:r w:rsidRPr="00436D7D">
        <w:rPr>
          <w:sz w:val="24"/>
          <w:szCs w:val="24"/>
          <w:lang w:val="fr-CD"/>
        </w:rPr>
        <w:t>L'approche CSC s'inscrit dans un effort plus large visant à relever les défis de santé publique par la mobilisation communautaire (voir par exemple [7], [8] et [9] dans les références). Le présent document vise à documenter et à comprendre les perceptions communautaires - positives et négatives - de l'approche CSC, sur la base d'une analyse qualitative des opinions exprimées dans une série de groupes de discussion au niveau communautaire. Les buts et objectifs de l'étude des groupes de discussion étaient triples :</w:t>
      </w:r>
    </w:p>
    <w:p w14:paraId="39D325BB" w14:textId="28A9064D" w:rsidR="006F3D2A" w:rsidRPr="006F3D2A" w:rsidRDefault="006F3D2A" w:rsidP="006F3D2A">
      <w:pPr>
        <w:pStyle w:val="Paragraphedeliste"/>
        <w:numPr>
          <w:ilvl w:val="0"/>
          <w:numId w:val="1"/>
        </w:numPr>
        <w:jc w:val="both"/>
        <w:rPr>
          <w:sz w:val="24"/>
          <w:szCs w:val="24"/>
          <w:lang w:val="fr-CD"/>
        </w:rPr>
      </w:pPr>
      <w:r w:rsidRPr="006F3D2A">
        <w:rPr>
          <w:sz w:val="24"/>
          <w:szCs w:val="24"/>
          <w:lang w:val="fr-CD"/>
        </w:rPr>
        <w:t>Évaluer la réaction communautaire aux CSC, étant donné qu'il s'agissait d'une approche non expérimentée et qu'il existait une hostilité connue au niveau communautaire à l'égard d'un CTE plus grande et plus centralisée.</w:t>
      </w:r>
    </w:p>
    <w:p w14:paraId="745B4023" w14:textId="40ABA737" w:rsidR="006F3D2A" w:rsidRPr="006F3D2A" w:rsidRDefault="006F3D2A" w:rsidP="006F3D2A">
      <w:pPr>
        <w:pStyle w:val="Paragraphedeliste"/>
        <w:numPr>
          <w:ilvl w:val="0"/>
          <w:numId w:val="1"/>
        </w:numPr>
        <w:jc w:val="both"/>
        <w:rPr>
          <w:sz w:val="24"/>
          <w:szCs w:val="24"/>
          <w:lang w:val="fr-CD"/>
        </w:rPr>
      </w:pPr>
      <w:r w:rsidRPr="006F3D2A">
        <w:rPr>
          <w:sz w:val="24"/>
          <w:szCs w:val="24"/>
          <w:lang w:val="fr-CD"/>
        </w:rPr>
        <w:lastRenderedPageBreak/>
        <w:t>Évaluer si les réactions communautaires varient selon le sexe, l'âge ou le lieu (avec ou sans CSC)</w:t>
      </w:r>
    </w:p>
    <w:p w14:paraId="0C42EF47" w14:textId="06CDCA89" w:rsidR="00436D7D" w:rsidRDefault="006F3D2A" w:rsidP="006F3D2A">
      <w:pPr>
        <w:pStyle w:val="Paragraphedeliste"/>
        <w:numPr>
          <w:ilvl w:val="0"/>
          <w:numId w:val="1"/>
        </w:numPr>
        <w:jc w:val="both"/>
        <w:rPr>
          <w:sz w:val="24"/>
          <w:szCs w:val="24"/>
          <w:lang w:val="fr-CD"/>
        </w:rPr>
      </w:pPr>
      <w:r w:rsidRPr="006F3D2A">
        <w:rPr>
          <w:sz w:val="24"/>
          <w:szCs w:val="24"/>
          <w:lang w:val="fr-CD"/>
        </w:rPr>
        <w:t>Examiner les réactions par rapport à un ensemble de préoccupations et de contraintes clés, dont 4 d'entre elles (accès à l'installation, visite et alimentation, enterrement et acquisition de terres) sont abordées dans le document. Les autres réactions seront examinées ultérieurement.</w:t>
      </w:r>
    </w:p>
    <w:p w14:paraId="1FDF93F5" w14:textId="171206C0" w:rsidR="006F3D2A" w:rsidRDefault="006F3D2A" w:rsidP="006F3D2A">
      <w:pPr>
        <w:jc w:val="both"/>
        <w:rPr>
          <w:sz w:val="24"/>
          <w:szCs w:val="24"/>
          <w:lang w:val="fr-CD"/>
        </w:rPr>
      </w:pPr>
    </w:p>
    <w:p w14:paraId="2999B65D" w14:textId="06398EDC" w:rsidR="006F3D2A" w:rsidRDefault="006F3D2A" w:rsidP="006F3D2A">
      <w:pPr>
        <w:jc w:val="both"/>
        <w:rPr>
          <w:b/>
          <w:bCs/>
          <w:sz w:val="32"/>
          <w:szCs w:val="32"/>
          <w:lang w:val="fr-CD"/>
        </w:rPr>
      </w:pPr>
      <w:r w:rsidRPr="006F3D2A">
        <w:rPr>
          <w:b/>
          <w:bCs/>
          <w:sz w:val="32"/>
          <w:szCs w:val="32"/>
          <w:lang w:val="fr-CD"/>
        </w:rPr>
        <w:t>Outils et méthodes</w:t>
      </w:r>
    </w:p>
    <w:p w14:paraId="6FD77FDB" w14:textId="2A1E81BB" w:rsidR="00E53172" w:rsidRPr="007C1FD9" w:rsidRDefault="00E53172" w:rsidP="00E53172">
      <w:pPr>
        <w:jc w:val="both"/>
        <w:rPr>
          <w:sz w:val="24"/>
          <w:szCs w:val="24"/>
          <w:lang w:val="fr-CD"/>
        </w:rPr>
      </w:pPr>
      <w:r w:rsidRPr="007C1FD9">
        <w:rPr>
          <w:sz w:val="24"/>
          <w:szCs w:val="24"/>
          <w:lang w:val="fr-CD"/>
        </w:rPr>
        <w:t xml:space="preserve">La conception de base </w:t>
      </w:r>
      <w:proofErr w:type="gramStart"/>
      <w:r w:rsidRPr="007C1FD9">
        <w:rPr>
          <w:sz w:val="24"/>
          <w:szCs w:val="24"/>
          <w:lang w:val="fr-CD"/>
        </w:rPr>
        <w:t>d'un CSC</w:t>
      </w:r>
      <w:proofErr w:type="gramEnd"/>
      <w:r w:rsidRPr="007C1FD9">
        <w:rPr>
          <w:sz w:val="24"/>
          <w:szCs w:val="24"/>
          <w:lang w:val="fr-CD"/>
        </w:rPr>
        <w:t xml:space="preserve"> est décrite dans [10] (dans les références). Le CSC était généralement un établissement de 8 à 10 lits sous des tentes (bâchées) ou un bâtiment local réaménagé (comme une école), doté d'un personnel "bénévole", principalement des professionnels ayant une formation médicale, mais sans numéro de matricule du ministère de la santé, et de divers travailleurs manuels, tels que des gardiens, des nettoyeurs et des cuisiniers. Certains des bénévoles et la plupart des travailleurs manuels ont été recrutés au sein de la communauté locale, un facteur important pour gagner la confiance des patients et de leurs familles. Tous les CSC étudiés disposaient d'un approvisionnement en eau, de latrines et d'une sécurité. L'aménagement était divisé en zones "rouges" et "vertes" [10]. L'accès à la zone "rouge" était interdit à tous sauf au personnel correctement vêtu en EPI. Certains CSC avaient de la lumière la nuit, alimentée par des générateurs. Les soignants ne pouvaient pas s'occuper de patients suspects de MVE pendant la nuit à moins </w:t>
      </w:r>
      <w:proofErr w:type="gramStart"/>
      <w:r w:rsidRPr="007C1FD9">
        <w:rPr>
          <w:sz w:val="24"/>
          <w:szCs w:val="24"/>
          <w:lang w:val="fr-CD"/>
        </w:rPr>
        <w:t>qu'un CSC</w:t>
      </w:r>
      <w:proofErr w:type="gramEnd"/>
      <w:r w:rsidRPr="007C1FD9">
        <w:rPr>
          <w:sz w:val="24"/>
          <w:szCs w:val="24"/>
          <w:lang w:val="fr-CD"/>
        </w:rPr>
        <w:t xml:space="preserve"> n'ait de l'électricité [10]. L'étude ICAP rapporte "qu'aucun site (visité par l'équipe) n'avait connaissance de la présence d'agents de santé ayant contracté des maladies sexuellement transmissibles dans le cadre de leur travail sur le site" [10]. Le personnel infirmier a procédé au tri des personnes malades dès qu'elles se sont présentées. Celles qui ne présentaient aucun signe d'Ebola étaient traitées contre la malaria ou d'autres maladies et renvoyées chez elles, sous observation. Des échantillons de sang ont été prélevés sur les personnes admises. L'objectif était d'obtenir un résultat confirmé en laboratoire dans les deux jours [2, 10]. Les cas confirmés d'Ebola ont été transférés en ambulance vers un CTE. Certains sont morts avant que le diagnostic ne puisse être confirmé et ont été enterrés par une équipe "d'enterrement sûr" du CSC. </w:t>
      </w:r>
    </w:p>
    <w:p w14:paraId="3950E434" w14:textId="77777777" w:rsidR="00E53172" w:rsidRPr="007C1FD9" w:rsidRDefault="00E53172" w:rsidP="00E53172">
      <w:pPr>
        <w:jc w:val="both"/>
        <w:rPr>
          <w:sz w:val="24"/>
          <w:szCs w:val="24"/>
          <w:lang w:val="fr-CD"/>
        </w:rPr>
      </w:pPr>
      <w:r w:rsidRPr="007C1FD9">
        <w:rPr>
          <w:sz w:val="24"/>
          <w:szCs w:val="24"/>
          <w:lang w:val="fr-CD"/>
        </w:rPr>
        <w:t xml:space="preserve">Les données de la présente étude ont été collectées dans le cadre d'une évaluation formative de l'impact des CSC menée en février 2015 dans 14 villages (regroupés en sept paires, un village avec un CSC et un second village qui oriente les patients vers le CSC dans le premier village) dans sept chefferies du nord et de l'est de la Sierra Leone. Chaque village de référence appartenait à la même section de chefferie que le CSC de son village correspondant. Une section est l'unité administrative la plus basse dans la Sierra Leone provinciale, regroupant généralement une poignée de villages dans un rayon de 4 à 5 km. </w:t>
      </w:r>
    </w:p>
    <w:p w14:paraId="6F4F6B3D" w14:textId="77777777" w:rsidR="00E53172" w:rsidRPr="007C1FD9" w:rsidRDefault="00E53172" w:rsidP="00E53172">
      <w:pPr>
        <w:jc w:val="both"/>
        <w:rPr>
          <w:sz w:val="24"/>
          <w:szCs w:val="24"/>
          <w:lang w:val="fr-CD"/>
        </w:rPr>
      </w:pPr>
      <w:r w:rsidRPr="007C1FD9">
        <w:rPr>
          <w:sz w:val="24"/>
          <w:szCs w:val="24"/>
          <w:lang w:val="fr-CD"/>
        </w:rPr>
        <w:lastRenderedPageBreak/>
        <w:t>Le choix des sept chefferies était motivé, après consultation des autorités locales et des agents de riposte. A l'origine, il était prévu de choisir deux chefferies dans chacun des quatre districts (</w:t>
      </w:r>
      <w:proofErr w:type="spellStart"/>
      <w:r w:rsidRPr="007C1FD9">
        <w:rPr>
          <w:sz w:val="24"/>
          <w:szCs w:val="24"/>
          <w:lang w:val="fr-CD"/>
        </w:rPr>
        <w:t>Kambia</w:t>
      </w:r>
      <w:proofErr w:type="spellEnd"/>
      <w:r w:rsidRPr="007C1FD9">
        <w:rPr>
          <w:sz w:val="24"/>
          <w:szCs w:val="24"/>
          <w:lang w:val="fr-CD"/>
        </w:rPr>
        <w:t xml:space="preserve">, </w:t>
      </w:r>
      <w:proofErr w:type="spellStart"/>
      <w:r w:rsidRPr="007C1FD9">
        <w:rPr>
          <w:sz w:val="24"/>
          <w:szCs w:val="24"/>
          <w:lang w:val="fr-CD"/>
        </w:rPr>
        <w:t>Kono</w:t>
      </w:r>
      <w:proofErr w:type="spellEnd"/>
      <w:r w:rsidRPr="007C1FD9">
        <w:rPr>
          <w:sz w:val="24"/>
          <w:szCs w:val="24"/>
          <w:lang w:val="fr-CD"/>
        </w:rPr>
        <w:t xml:space="preserve">, Port Loko et </w:t>
      </w:r>
      <w:proofErr w:type="spellStart"/>
      <w:r w:rsidRPr="007C1FD9">
        <w:rPr>
          <w:sz w:val="24"/>
          <w:szCs w:val="24"/>
          <w:lang w:val="fr-CD"/>
        </w:rPr>
        <w:t>Tonkolili</w:t>
      </w:r>
      <w:proofErr w:type="spellEnd"/>
      <w:r w:rsidRPr="007C1FD9">
        <w:rPr>
          <w:sz w:val="24"/>
          <w:szCs w:val="24"/>
          <w:lang w:val="fr-CD"/>
        </w:rPr>
        <w:t xml:space="preserve">) où les chaînes d'infection au virus Ebola étaient encore actives, mais des contraintes logistiques ont confiné l'équipe de recherche à une seule chefferie dans le district de </w:t>
      </w:r>
      <w:proofErr w:type="spellStart"/>
      <w:r w:rsidRPr="007C1FD9">
        <w:rPr>
          <w:sz w:val="24"/>
          <w:szCs w:val="24"/>
          <w:lang w:val="fr-CD"/>
        </w:rPr>
        <w:t>Kambia</w:t>
      </w:r>
      <w:proofErr w:type="spellEnd"/>
      <w:r w:rsidRPr="007C1FD9">
        <w:rPr>
          <w:sz w:val="24"/>
          <w:szCs w:val="24"/>
          <w:lang w:val="fr-CD"/>
        </w:rPr>
        <w:t xml:space="preserve">. Nous avons également dû tenir compte de considérations pratiques, d'une accessibilité raisonnable et d'un site de campement approprié pour l'équipe (l'hébergement chez les villageois, notre pratique habituelle, n'étant pas autorisé par la réglementation sur le virus Ebola, l'équipe a pris des tentes et s'est occupée elle-même de la préparation des repas et du ménage). Les CSC variaient quelque peu en termes de conception et d'installations. Nous n'avons pas essayé d'en tenir compte dans la conception de notre échantillon. En effet, nous nous sommes concentrés sur les communautés et celles-ci n'ont pas connu de modifications dans la conception. Dans chaque cas, elles comparaient leur propre CSC avec ce qui existait auparavant - traitement dans un centre de santé du village ou dans un CTE éloigné. Il était très important pour nous d'obtenir une bonne répartition des communautés, en gardant à l'esprit les contraintes pratiques mentionnées concernant le travail de terrain dans une épidémie active. </w:t>
      </w:r>
    </w:p>
    <w:p w14:paraId="692A3EC6" w14:textId="0A05EBF0" w:rsidR="006F3D2A" w:rsidRPr="007C1FD9" w:rsidRDefault="00E53172" w:rsidP="00E53172">
      <w:pPr>
        <w:jc w:val="both"/>
        <w:rPr>
          <w:sz w:val="24"/>
          <w:szCs w:val="24"/>
          <w:lang w:val="fr-CD"/>
        </w:rPr>
      </w:pPr>
      <w:r w:rsidRPr="007C1FD9">
        <w:rPr>
          <w:sz w:val="24"/>
          <w:szCs w:val="24"/>
          <w:lang w:val="fr-CD"/>
        </w:rPr>
        <w:t xml:space="preserve">Des groupes de discussion, d'une durée habituelle d'une à deux heures, ont été organisés dans les 14 villages. Quatre réunions de groupes de discussion (pour les anciens, les hommes, les femmes et les jeunes) par village ont été organisées simultanément pour garantir des réponses indépendantes. Il y a d'abord eu une réunion d'introduction avec le chef du village et les anciens. Nous avons expliqué que tous les villageois étaient invités, s'ils choisissaient de venir, mais qu'il y aurait des sessions parallèles séparées pour les jeunes, les femmes plus âgées, les hommes plus âgés et les anciens. Il faut ajouter que le terme "jeune" a une signification spécifique en Sierra Leone rurale, se référant à une personne dont on ne pense pas encore qu'elle ait de l'ancienneté dans les affaires du village. La tranche d'âge est assez vague - généralement de 20 à 35 ans (c'est-à-dire jeune adulte) - mais il n'est pas rare de voir des personnes âgées de faible statut social se mêler aux jeunes. Nous n'avons pas inclus les enfants, ce qui a permis d'éviter la question de l'obtention du consentement parental. Les emplacements des différents groupes ont été annoncés, et les gens ont été informés qu'ils pouvaient choisir le groupe qu'ils jugeaient le plus approprié pour eux. Après avoir choisi leur groupe, les participants ont donné leur consentement </w:t>
      </w:r>
      <w:r w:rsidR="005D3B6A" w:rsidRPr="007C1FD9">
        <w:rPr>
          <w:sz w:val="24"/>
          <w:szCs w:val="24"/>
          <w:lang w:val="fr-CD"/>
        </w:rPr>
        <w:t>éclairé</w:t>
      </w:r>
      <w:r w:rsidRPr="007C1FD9">
        <w:rPr>
          <w:sz w:val="24"/>
          <w:szCs w:val="24"/>
          <w:lang w:val="fr-CD"/>
        </w:rPr>
        <w:t>.</w:t>
      </w:r>
    </w:p>
    <w:p w14:paraId="673FAB35" w14:textId="77777777" w:rsidR="007E34D4" w:rsidRPr="007C1FD9" w:rsidRDefault="007E34D4" w:rsidP="007E34D4">
      <w:pPr>
        <w:jc w:val="both"/>
        <w:rPr>
          <w:sz w:val="24"/>
          <w:szCs w:val="24"/>
          <w:lang w:val="fr-CD"/>
        </w:rPr>
      </w:pPr>
      <w:r w:rsidRPr="007C1FD9">
        <w:rPr>
          <w:sz w:val="24"/>
          <w:szCs w:val="24"/>
          <w:lang w:val="fr-CD"/>
        </w:rPr>
        <w:t xml:space="preserve">Tous les différents groupes ont été suffisamment représentés. Nous n'avons pas enregistré de noms, mais nous avons pris des informations sur les groupes d'âge, le sexe (pour les groupes mixtes "jeunes" et "personnes âgées") et les professions. Ces données donnent une idée de la représentativité de chaque réunion. Il y a eu 56 réunions au total. Au total, 1051 personnes ont participé et 3399 déclarations ont été enregistrées. </w:t>
      </w:r>
    </w:p>
    <w:p w14:paraId="10980512" w14:textId="77777777" w:rsidR="007E34D4" w:rsidRPr="007C1FD9" w:rsidRDefault="007E34D4" w:rsidP="007E34D4">
      <w:pPr>
        <w:jc w:val="both"/>
        <w:rPr>
          <w:sz w:val="24"/>
          <w:szCs w:val="24"/>
          <w:lang w:val="fr-CD"/>
        </w:rPr>
      </w:pPr>
      <w:r w:rsidRPr="007C1FD9">
        <w:rPr>
          <w:sz w:val="24"/>
          <w:szCs w:val="24"/>
          <w:lang w:val="fr-CD"/>
        </w:rPr>
        <w:lastRenderedPageBreak/>
        <w:t>Une seule question a servi à lancer la discussion : quels changements (bons ou mauvais) ont eu lieu dans votre communauté au cours de l'année dernière ? Dans tous les groupes, le thème du virus Ebola a été rapidement abordé. Les animateurs ont reçu une liste de questions pour orienter la discussion. Dans certains cas, les questions ont été utilisées avec précaution car la discussion s'est déroulée naturellement. L'anonymat des orateurs a été garanti dans le cadre d'une procédure de consentement éclairé.</w:t>
      </w:r>
    </w:p>
    <w:p w14:paraId="33073DD6" w14:textId="77777777" w:rsidR="007E34D4" w:rsidRPr="007C1FD9" w:rsidRDefault="007E34D4" w:rsidP="007E34D4">
      <w:pPr>
        <w:jc w:val="both"/>
        <w:rPr>
          <w:sz w:val="24"/>
          <w:szCs w:val="24"/>
          <w:lang w:val="fr-CD"/>
        </w:rPr>
      </w:pPr>
      <w:r w:rsidRPr="007C1FD9">
        <w:rPr>
          <w:sz w:val="24"/>
          <w:szCs w:val="24"/>
          <w:lang w:val="fr-CD"/>
        </w:rPr>
        <w:t xml:space="preserve">Un système de cartes a été utilisé pour tenir compte du type d'orateur, du moment où il s'est joint à la conversation et du nombre de fois qu'il a parlé, sans avoir à enregistrer les noms. Deux séquences de cartes numérotées, appelées "ordre de passage" (sur lesquelles les répondants étaient étiquetés A, B, C, etc.) et des cartes " d'ordre de prise de parole " (numérotant les fois où chaque répondant a parlé - A1, A2, A3, etc.) ont été distribuées et encaissées chaque fois qu'un participant a levé la main pour parler. Les détails de l'ordre de passage et de l'ordre de prise de parole étaient joints aux déclarations au fur et à mesure que les animateurs les écrivaient. </w:t>
      </w:r>
    </w:p>
    <w:p w14:paraId="37DBFA5B" w14:textId="77777777" w:rsidR="007E34D4" w:rsidRPr="007C1FD9" w:rsidRDefault="007E34D4" w:rsidP="007E34D4">
      <w:pPr>
        <w:jc w:val="both"/>
        <w:rPr>
          <w:sz w:val="24"/>
          <w:szCs w:val="24"/>
          <w:lang w:val="fr-CD"/>
        </w:rPr>
      </w:pPr>
      <w:r w:rsidRPr="007C1FD9">
        <w:rPr>
          <w:sz w:val="24"/>
          <w:szCs w:val="24"/>
          <w:lang w:val="fr-CD"/>
        </w:rPr>
        <w:t xml:space="preserve">Le système de suivi des cartes permet à l'analyste de découvrir des schémas de réponses - par exemple, si certaines opinions ont été favorisées dans certains des quatre groupes mais pas dans tous, si certaines personnes ont dominé la conversation, ou si l'expression d'une opinion particulière par une personne de statut ou d'ancienneté supérieure a été confirmée par l'écho des déclarations d'autres personnes qui ont parlé plus tard dans une séquence. L'espace est insuffisant dans le présent document pour offrir l'analyse fine rendue possible par ce système de suivi, mais les données sont fournies en ligne, et nous prévoyons une analyse plus approfondie. À des fins descriptives, quelques numéros de résumé sont fournis ci-dessous pour donner une indication de l'importance de sujets particuliers pour les différentes strates de l'échantillon. </w:t>
      </w:r>
    </w:p>
    <w:p w14:paraId="2039040C" w14:textId="2CB8F122" w:rsidR="005D3B6A" w:rsidRPr="007C1FD9" w:rsidRDefault="007E34D4" w:rsidP="007E34D4">
      <w:pPr>
        <w:jc w:val="both"/>
        <w:rPr>
          <w:sz w:val="24"/>
          <w:szCs w:val="24"/>
          <w:lang w:val="fr-CD"/>
        </w:rPr>
      </w:pPr>
      <w:r w:rsidRPr="007C1FD9">
        <w:rPr>
          <w:sz w:val="24"/>
          <w:szCs w:val="24"/>
          <w:lang w:val="fr-CD"/>
        </w:rPr>
        <w:t>De plus, chaque groupe a établi ses propres règles de fonctionnement (par exemple, parler d'une voix modérée) et a encouragé le plus grand nombre de personnes possible à contribuer aux discussions.</w:t>
      </w:r>
    </w:p>
    <w:p w14:paraId="4E07638B" w14:textId="249C40E5" w:rsidR="007E34D4" w:rsidRPr="007C1FD9" w:rsidRDefault="007E34D4" w:rsidP="007E34D4">
      <w:pPr>
        <w:jc w:val="both"/>
        <w:rPr>
          <w:sz w:val="24"/>
          <w:szCs w:val="24"/>
          <w:lang w:val="fr-CD"/>
        </w:rPr>
      </w:pPr>
      <w:r w:rsidRPr="007C1FD9">
        <w:rPr>
          <w:sz w:val="24"/>
          <w:szCs w:val="24"/>
          <w:lang w:val="fr-CD"/>
        </w:rPr>
        <w:t>Chaque groupe de discussion a été dirigé par deux animateurs. Le premier animateur a mené la discussion en posant une question de départ sur les maladies affectant la communauté. Le facilitateur a confirmé que les groupes pouvaient parler de la riposte au virus Ebola une fois que les participants l'avaient soulevée, et plus particulièrement de la CSC, comme ils le souhaitaient.</w:t>
      </w:r>
    </w:p>
    <w:p w14:paraId="479BB626" w14:textId="77777777" w:rsidR="00827C38" w:rsidRPr="007C1FD9" w:rsidRDefault="00827C38" w:rsidP="00827C38">
      <w:pPr>
        <w:jc w:val="both"/>
        <w:rPr>
          <w:sz w:val="24"/>
          <w:szCs w:val="24"/>
          <w:lang w:val="fr-CD"/>
        </w:rPr>
      </w:pPr>
      <w:r w:rsidRPr="007C1FD9">
        <w:rPr>
          <w:sz w:val="24"/>
          <w:szCs w:val="24"/>
          <w:lang w:val="fr-CD"/>
        </w:rPr>
        <w:t xml:space="preserve">Chaque groupe de discussion a été dirigé par deux animateurs. Le premier animateur a mené la discussion en posant une question de départ sur les maladies affectant la communauté. Le facilitateur a confirmé que les groupes pouvaient parler de la riposte à la maladie à Ebola une fois que les participants l'avaient soulevée, et plus particulièrement de la CSC, comme ils le souhaitaient. La liste des questions a été utilisée pour assurer une certaine cohérence entre les groupes. Le facilitateur deux a géré le suivi et pris des notes sur le langage corporel pour évaluer </w:t>
      </w:r>
      <w:r w:rsidRPr="007C1FD9">
        <w:rPr>
          <w:sz w:val="24"/>
          <w:szCs w:val="24"/>
          <w:lang w:val="fr-CD"/>
        </w:rPr>
        <w:lastRenderedPageBreak/>
        <w:t xml:space="preserve">les réactions (en premier lieu pour se préserver de la détresse), a fait fonctionner le système de suivi des cartes et a écrit et traduit la discussion. </w:t>
      </w:r>
    </w:p>
    <w:p w14:paraId="3BA7A4B3" w14:textId="77777777" w:rsidR="00827C38" w:rsidRPr="007C1FD9" w:rsidRDefault="00827C38" w:rsidP="00827C38">
      <w:pPr>
        <w:jc w:val="both"/>
        <w:rPr>
          <w:sz w:val="24"/>
          <w:szCs w:val="24"/>
          <w:lang w:val="fr-CD"/>
        </w:rPr>
      </w:pPr>
      <w:r w:rsidRPr="007C1FD9">
        <w:rPr>
          <w:sz w:val="24"/>
          <w:szCs w:val="24"/>
          <w:lang w:val="fr-CD"/>
        </w:rPr>
        <w:t xml:space="preserve">Les 3399 déclarations enregistrées ont été regroupées en douze grands thèmes (voir le commentaire sur les buts et objectifs ci-dessus). Les déclarations ont ensuite été classées comme descriptives (type 1) ou évaluatives (type 2). Une déclaration est considérée comme descriptive si elle se contente d'énoncer un fait, par exemple "le CSC disposait d'un générateur". Elle serait considérée comme évaluative si une opinion était exprimée, par exemple, que "le personnel de la clinique a montré de la sympathie pour le patient". Cela a donné lieu à 1367 (40%) déclarations de type 1 et 2032 (60%) déclarations de type 2. Les déclarations évaluatives ont été au centre de notre analyse. </w:t>
      </w:r>
    </w:p>
    <w:p w14:paraId="19724B0A" w14:textId="08AD160E" w:rsidR="007E34D4" w:rsidRPr="007C1FD9" w:rsidRDefault="00827C38" w:rsidP="00827C38">
      <w:pPr>
        <w:jc w:val="both"/>
        <w:rPr>
          <w:sz w:val="24"/>
          <w:szCs w:val="24"/>
          <w:lang w:val="fr-CD"/>
        </w:rPr>
      </w:pPr>
      <w:r w:rsidRPr="007C1FD9">
        <w:rPr>
          <w:sz w:val="24"/>
          <w:szCs w:val="24"/>
          <w:lang w:val="fr-CD"/>
        </w:rPr>
        <w:t>En raison de contraintes de volume, les résultats ne sont présentés dans ce document que pour quatre des douze thèmes, couvrant environ un tiers du total des données (tableau 1). Ces quatre thèmes ont été choisis pour refléter les principales priorités des participants aux groupes de discussion, en termes de déclarations évaluatives. Les quatre thèmes sont i) l'accès aux installations de traitement Ebola, ii) la visite et l'alimentation des patients, iii) l'enterrement, les cérémonies funéraires et la déclaration du décès des patients, et iv) l'acquisition de terrains pour mettre en place un CSC.</w:t>
      </w:r>
    </w:p>
    <w:p w14:paraId="7333C0F8" w14:textId="75758928" w:rsidR="007922DF" w:rsidRPr="007C1FD9" w:rsidRDefault="007922DF" w:rsidP="00827C38">
      <w:pPr>
        <w:jc w:val="both"/>
        <w:rPr>
          <w:b/>
          <w:bCs/>
          <w:sz w:val="24"/>
          <w:szCs w:val="24"/>
          <w:lang w:val="fr-CD"/>
        </w:rPr>
      </w:pPr>
      <w:r w:rsidRPr="007C1FD9">
        <w:rPr>
          <w:b/>
          <w:bCs/>
          <w:sz w:val="24"/>
          <w:szCs w:val="24"/>
          <w:lang w:val="fr-CD"/>
        </w:rPr>
        <w:t>Tableau 1. Vue d'ensemble du sous-ensemble de données.</w:t>
      </w:r>
    </w:p>
    <w:tbl>
      <w:tblPr>
        <w:tblStyle w:val="Grilledutableau"/>
        <w:tblW w:w="0" w:type="auto"/>
        <w:tblLook w:val="04A0" w:firstRow="1" w:lastRow="0" w:firstColumn="1" w:lastColumn="0" w:noHBand="0" w:noVBand="1"/>
      </w:tblPr>
      <w:tblGrid>
        <w:gridCol w:w="3132"/>
        <w:gridCol w:w="3132"/>
        <w:gridCol w:w="3132"/>
      </w:tblGrid>
      <w:tr w:rsidR="007922DF" w:rsidRPr="007C1FD9" w14:paraId="02DB42EB" w14:textId="77777777" w:rsidTr="007922DF">
        <w:tc>
          <w:tcPr>
            <w:tcW w:w="3132" w:type="dxa"/>
          </w:tcPr>
          <w:p w14:paraId="6F0BC197" w14:textId="314F4E8A" w:rsidR="007922DF" w:rsidRPr="007C1FD9" w:rsidRDefault="007922DF" w:rsidP="007922DF">
            <w:pPr>
              <w:rPr>
                <w:b/>
                <w:bCs/>
                <w:sz w:val="24"/>
                <w:szCs w:val="24"/>
                <w:lang w:val="fr-CD"/>
              </w:rPr>
            </w:pPr>
            <w:r w:rsidRPr="007C1FD9">
              <w:rPr>
                <w:b/>
                <w:bCs/>
                <w:sz w:val="24"/>
                <w:szCs w:val="24"/>
                <w:lang w:val="fr-CD"/>
              </w:rPr>
              <w:t>Sujet</w:t>
            </w:r>
          </w:p>
        </w:tc>
        <w:tc>
          <w:tcPr>
            <w:tcW w:w="3132" w:type="dxa"/>
          </w:tcPr>
          <w:p w14:paraId="310EA46F" w14:textId="01D87E38" w:rsidR="007922DF" w:rsidRPr="007C1FD9" w:rsidRDefault="007922DF" w:rsidP="007922DF">
            <w:pPr>
              <w:rPr>
                <w:b/>
                <w:bCs/>
                <w:sz w:val="24"/>
                <w:szCs w:val="24"/>
                <w:lang w:val="fr-CD"/>
              </w:rPr>
            </w:pPr>
            <w:r w:rsidRPr="007C1FD9">
              <w:rPr>
                <w:b/>
                <w:bCs/>
                <w:sz w:val="24"/>
                <w:szCs w:val="24"/>
                <w:lang w:val="fr-CD"/>
              </w:rPr>
              <w:t>Intervenants</w:t>
            </w:r>
          </w:p>
        </w:tc>
        <w:tc>
          <w:tcPr>
            <w:tcW w:w="3132" w:type="dxa"/>
          </w:tcPr>
          <w:p w14:paraId="19C7036E" w14:textId="5E896DEC" w:rsidR="007922DF" w:rsidRPr="007C1FD9" w:rsidRDefault="007922DF" w:rsidP="007922DF">
            <w:pPr>
              <w:rPr>
                <w:b/>
                <w:bCs/>
                <w:sz w:val="24"/>
                <w:szCs w:val="24"/>
                <w:lang w:val="fr-CD"/>
              </w:rPr>
            </w:pPr>
            <w:r w:rsidRPr="007C1FD9">
              <w:rPr>
                <w:b/>
                <w:bCs/>
                <w:sz w:val="24"/>
                <w:szCs w:val="24"/>
                <w:lang w:val="fr-CD"/>
              </w:rPr>
              <w:t>Déclarations de type 2</w:t>
            </w:r>
          </w:p>
        </w:tc>
      </w:tr>
      <w:tr w:rsidR="007922DF" w:rsidRPr="007C1FD9" w14:paraId="009ACE18" w14:textId="77777777" w:rsidTr="007922DF">
        <w:tc>
          <w:tcPr>
            <w:tcW w:w="3132" w:type="dxa"/>
          </w:tcPr>
          <w:p w14:paraId="30A2EE70" w14:textId="0DBAA9C0" w:rsidR="007922DF" w:rsidRPr="007C1FD9" w:rsidRDefault="007922DF" w:rsidP="007922DF">
            <w:pPr>
              <w:rPr>
                <w:sz w:val="24"/>
                <w:szCs w:val="24"/>
                <w:lang w:val="fr-CD"/>
              </w:rPr>
            </w:pPr>
            <w:r w:rsidRPr="007C1FD9">
              <w:rPr>
                <w:sz w:val="24"/>
                <w:szCs w:val="24"/>
                <w:lang w:val="fr-CD"/>
              </w:rPr>
              <w:t>Distance</w:t>
            </w:r>
          </w:p>
        </w:tc>
        <w:tc>
          <w:tcPr>
            <w:tcW w:w="3132" w:type="dxa"/>
          </w:tcPr>
          <w:p w14:paraId="75A219F3" w14:textId="25FD93EF" w:rsidR="007922DF" w:rsidRPr="007C1FD9" w:rsidRDefault="007922DF" w:rsidP="007922DF">
            <w:pPr>
              <w:rPr>
                <w:sz w:val="24"/>
                <w:szCs w:val="24"/>
                <w:lang w:val="fr-CD"/>
              </w:rPr>
            </w:pPr>
            <w:r w:rsidRPr="007C1FD9">
              <w:rPr>
                <w:sz w:val="24"/>
                <w:szCs w:val="24"/>
                <w:lang w:val="fr-CD"/>
              </w:rPr>
              <w:t>89</w:t>
            </w:r>
          </w:p>
        </w:tc>
        <w:tc>
          <w:tcPr>
            <w:tcW w:w="3132" w:type="dxa"/>
          </w:tcPr>
          <w:p w14:paraId="66CA7942" w14:textId="01195829" w:rsidR="007922DF" w:rsidRPr="007C1FD9" w:rsidRDefault="007922DF" w:rsidP="007922DF">
            <w:pPr>
              <w:rPr>
                <w:sz w:val="24"/>
                <w:szCs w:val="24"/>
                <w:lang w:val="fr-CD"/>
              </w:rPr>
            </w:pPr>
            <w:r w:rsidRPr="007C1FD9">
              <w:rPr>
                <w:sz w:val="24"/>
                <w:szCs w:val="24"/>
                <w:lang w:val="fr-CD"/>
              </w:rPr>
              <w:t>96</w:t>
            </w:r>
          </w:p>
        </w:tc>
      </w:tr>
      <w:tr w:rsidR="007922DF" w:rsidRPr="007C1FD9" w14:paraId="259C68DB" w14:textId="77777777" w:rsidTr="007922DF">
        <w:tc>
          <w:tcPr>
            <w:tcW w:w="3132" w:type="dxa"/>
          </w:tcPr>
          <w:p w14:paraId="4DE11E86" w14:textId="53AC05ED" w:rsidR="007922DF" w:rsidRPr="007C1FD9" w:rsidRDefault="007922DF" w:rsidP="007922DF">
            <w:pPr>
              <w:rPr>
                <w:sz w:val="24"/>
                <w:szCs w:val="24"/>
                <w:lang w:val="fr-CD"/>
              </w:rPr>
            </w:pPr>
            <w:r w:rsidRPr="007C1FD9">
              <w:rPr>
                <w:sz w:val="24"/>
                <w:szCs w:val="24"/>
                <w:lang w:val="fr-CD"/>
              </w:rPr>
              <w:t>Visites</w:t>
            </w:r>
          </w:p>
        </w:tc>
        <w:tc>
          <w:tcPr>
            <w:tcW w:w="3132" w:type="dxa"/>
          </w:tcPr>
          <w:p w14:paraId="505CD02C" w14:textId="14AA4A79" w:rsidR="007922DF" w:rsidRPr="007C1FD9" w:rsidRDefault="007922DF" w:rsidP="007922DF">
            <w:pPr>
              <w:rPr>
                <w:sz w:val="24"/>
                <w:szCs w:val="24"/>
                <w:lang w:val="fr-CD"/>
              </w:rPr>
            </w:pPr>
            <w:r w:rsidRPr="007C1FD9">
              <w:rPr>
                <w:sz w:val="24"/>
                <w:szCs w:val="24"/>
                <w:lang w:val="fr-CD"/>
              </w:rPr>
              <w:t>195</w:t>
            </w:r>
          </w:p>
        </w:tc>
        <w:tc>
          <w:tcPr>
            <w:tcW w:w="3132" w:type="dxa"/>
          </w:tcPr>
          <w:p w14:paraId="13AB16F5" w14:textId="1E20FFE3" w:rsidR="007922DF" w:rsidRPr="007C1FD9" w:rsidRDefault="007922DF" w:rsidP="007922DF">
            <w:pPr>
              <w:rPr>
                <w:sz w:val="24"/>
                <w:szCs w:val="24"/>
                <w:lang w:val="fr-CD"/>
              </w:rPr>
            </w:pPr>
            <w:r w:rsidRPr="007C1FD9">
              <w:rPr>
                <w:sz w:val="24"/>
                <w:szCs w:val="24"/>
                <w:lang w:val="fr-CD"/>
              </w:rPr>
              <w:t>227</w:t>
            </w:r>
          </w:p>
        </w:tc>
      </w:tr>
      <w:tr w:rsidR="007922DF" w:rsidRPr="007C1FD9" w14:paraId="39190CB4" w14:textId="77777777" w:rsidTr="007922DF">
        <w:tc>
          <w:tcPr>
            <w:tcW w:w="3132" w:type="dxa"/>
          </w:tcPr>
          <w:p w14:paraId="7C6F67B5" w14:textId="6D36AF6C" w:rsidR="007922DF" w:rsidRPr="007C1FD9" w:rsidRDefault="00B457F0" w:rsidP="007922DF">
            <w:pPr>
              <w:rPr>
                <w:sz w:val="24"/>
                <w:szCs w:val="24"/>
                <w:lang w:val="fr-CD"/>
              </w:rPr>
            </w:pPr>
            <w:r>
              <w:rPr>
                <w:sz w:val="24"/>
                <w:szCs w:val="24"/>
                <w:lang w:val="fr-CD"/>
              </w:rPr>
              <w:t>Enterrement</w:t>
            </w:r>
          </w:p>
        </w:tc>
        <w:tc>
          <w:tcPr>
            <w:tcW w:w="3132" w:type="dxa"/>
          </w:tcPr>
          <w:p w14:paraId="58EA75E6" w14:textId="1C8ECA9E" w:rsidR="007922DF" w:rsidRPr="007C1FD9" w:rsidRDefault="007922DF" w:rsidP="007922DF">
            <w:pPr>
              <w:rPr>
                <w:sz w:val="24"/>
                <w:szCs w:val="24"/>
                <w:lang w:val="fr-CD"/>
              </w:rPr>
            </w:pPr>
            <w:r w:rsidRPr="007C1FD9">
              <w:rPr>
                <w:sz w:val="24"/>
                <w:szCs w:val="24"/>
                <w:lang w:val="fr-CD"/>
              </w:rPr>
              <w:t>147</w:t>
            </w:r>
          </w:p>
        </w:tc>
        <w:tc>
          <w:tcPr>
            <w:tcW w:w="3132" w:type="dxa"/>
          </w:tcPr>
          <w:p w14:paraId="35B9EF2B" w14:textId="5A67F3C3" w:rsidR="007922DF" w:rsidRPr="007C1FD9" w:rsidRDefault="007922DF" w:rsidP="007922DF">
            <w:pPr>
              <w:rPr>
                <w:sz w:val="24"/>
                <w:szCs w:val="24"/>
                <w:lang w:val="fr-CD"/>
              </w:rPr>
            </w:pPr>
            <w:r w:rsidRPr="007C1FD9">
              <w:rPr>
                <w:sz w:val="24"/>
                <w:szCs w:val="24"/>
                <w:lang w:val="fr-CD"/>
              </w:rPr>
              <w:t>150</w:t>
            </w:r>
          </w:p>
        </w:tc>
      </w:tr>
      <w:tr w:rsidR="007922DF" w:rsidRPr="007C1FD9" w14:paraId="4FF04495" w14:textId="77777777" w:rsidTr="007922DF">
        <w:tc>
          <w:tcPr>
            <w:tcW w:w="3132" w:type="dxa"/>
          </w:tcPr>
          <w:p w14:paraId="11092531" w14:textId="0E2BCDF6" w:rsidR="007922DF" w:rsidRPr="007C1FD9" w:rsidRDefault="007922DF" w:rsidP="007922DF">
            <w:pPr>
              <w:rPr>
                <w:sz w:val="24"/>
                <w:szCs w:val="24"/>
                <w:lang w:val="fr-CD"/>
              </w:rPr>
            </w:pPr>
            <w:r w:rsidRPr="007C1FD9">
              <w:rPr>
                <w:sz w:val="24"/>
                <w:szCs w:val="24"/>
                <w:lang w:val="fr-CD"/>
              </w:rPr>
              <w:t>Le foncier</w:t>
            </w:r>
          </w:p>
        </w:tc>
        <w:tc>
          <w:tcPr>
            <w:tcW w:w="3132" w:type="dxa"/>
          </w:tcPr>
          <w:p w14:paraId="26E48D70" w14:textId="7043F9F6" w:rsidR="007922DF" w:rsidRPr="007C1FD9" w:rsidRDefault="007922DF" w:rsidP="007922DF">
            <w:pPr>
              <w:rPr>
                <w:sz w:val="24"/>
                <w:szCs w:val="24"/>
                <w:lang w:val="fr-CD"/>
              </w:rPr>
            </w:pPr>
            <w:r w:rsidRPr="007C1FD9">
              <w:rPr>
                <w:sz w:val="24"/>
                <w:szCs w:val="24"/>
                <w:lang w:val="fr-CD"/>
              </w:rPr>
              <w:t>131</w:t>
            </w:r>
          </w:p>
        </w:tc>
        <w:tc>
          <w:tcPr>
            <w:tcW w:w="3132" w:type="dxa"/>
          </w:tcPr>
          <w:p w14:paraId="2912C3DA" w14:textId="0C368814" w:rsidR="007922DF" w:rsidRPr="007C1FD9" w:rsidRDefault="007922DF" w:rsidP="007922DF">
            <w:pPr>
              <w:rPr>
                <w:sz w:val="24"/>
                <w:szCs w:val="24"/>
                <w:lang w:val="fr-CD"/>
              </w:rPr>
            </w:pPr>
            <w:r w:rsidRPr="007C1FD9">
              <w:rPr>
                <w:sz w:val="24"/>
                <w:szCs w:val="24"/>
                <w:lang w:val="fr-CD"/>
              </w:rPr>
              <w:t>144</w:t>
            </w:r>
          </w:p>
        </w:tc>
      </w:tr>
      <w:tr w:rsidR="007922DF" w:rsidRPr="007C1FD9" w14:paraId="5B8FBE8C" w14:textId="77777777" w:rsidTr="007922DF">
        <w:tc>
          <w:tcPr>
            <w:tcW w:w="3132" w:type="dxa"/>
          </w:tcPr>
          <w:p w14:paraId="4F83DF6B" w14:textId="53A4F3CB" w:rsidR="007922DF" w:rsidRPr="007C1FD9" w:rsidRDefault="007922DF" w:rsidP="007922DF">
            <w:pPr>
              <w:rPr>
                <w:b/>
                <w:bCs/>
                <w:sz w:val="24"/>
                <w:szCs w:val="24"/>
                <w:lang w:val="fr-CD"/>
              </w:rPr>
            </w:pPr>
            <w:r w:rsidRPr="007C1FD9">
              <w:rPr>
                <w:b/>
                <w:bCs/>
                <w:sz w:val="24"/>
                <w:szCs w:val="24"/>
                <w:lang w:val="fr-CD"/>
              </w:rPr>
              <w:t>Total</w:t>
            </w:r>
          </w:p>
        </w:tc>
        <w:tc>
          <w:tcPr>
            <w:tcW w:w="3132" w:type="dxa"/>
          </w:tcPr>
          <w:p w14:paraId="111EFD2A" w14:textId="25F3B312" w:rsidR="007922DF" w:rsidRPr="007C1FD9" w:rsidRDefault="007922DF" w:rsidP="007922DF">
            <w:pPr>
              <w:rPr>
                <w:b/>
                <w:bCs/>
                <w:sz w:val="24"/>
                <w:szCs w:val="24"/>
                <w:lang w:val="fr-CD"/>
              </w:rPr>
            </w:pPr>
            <w:r w:rsidRPr="007C1FD9">
              <w:rPr>
                <w:b/>
                <w:bCs/>
                <w:sz w:val="24"/>
                <w:szCs w:val="24"/>
                <w:lang w:val="fr-CD"/>
              </w:rPr>
              <w:t>562</w:t>
            </w:r>
          </w:p>
        </w:tc>
        <w:tc>
          <w:tcPr>
            <w:tcW w:w="3132" w:type="dxa"/>
          </w:tcPr>
          <w:p w14:paraId="6CE3004F" w14:textId="4CB71909" w:rsidR="007922DF" w:rsidRPr="007C1FD9" w:rsidRDefault="007922DF" w:rsidP="007922DF">
            <w:pPr>
              <w:rPr>
                <w:b/>
                <w:bCs/>
                <w:sz w:val="24"/>
                <w:szCs w:val="24"/>
                <w:lang w:val="fr-CD"/>
              </w:rPr>
            </w:pPr>
            <w:r w:rsidRPr="007C1FD9">
              <w:rPr>
                <w:b/>
                <w:bCs/>
                <w:sz w:val="24"/>
                <w:szCs w:val="24"/>
                <w:lang w:val="fr-CD"/>
              </w:rPr>
              <w:t>617</w:t>
            </w:r>
          </w:p>
        </w:tc>
      </w:tr>
    </w:tbl>
    <w:p w14:paraId="391BBFC3" w14:textId="7332D31F" w:rsidR="007922DF" w:rsidRPr="007C1FD9" w:rsidRDefault="009A0291" w:rsidP="007C1FD9">
      <w:pPr>
        <w:rPr>
          <w:sz w:val="24"/>
          <w:szCs w:val="24"/>
          <w:lang w:val="fr-CD"/>
        </w:rPr>
      </w:pPr>
      <w:hyperlink r:id="rId8" w:history="1">
        <w:r w:rsidR="007922DF" w:rsidRPr="007C1FD9">
          <w:rPr>
            <w:rStyle w:val="Lienhypertexte"/>
            <w:sz w:val="24"/>
            <w:szCs w:val="24"/>
            <w:lang w:val="fr-CD"/>
          </w:rPr>
          <w:t>https://doi.org/10.1371/journal.pntd.0007666.t001</w:t>
        </w:r>
      </w:hyperlink>
      <w:r w:rsidR="007922DF" w:rsidRPr="007C1FD9">
        <w:rPr>
          <w:sz w:val="24"/>
          <w:szCs w:val="24"/>
          <w:lang w:val="fr-CD"/>
        </w:rPr>
        <w:t xml:space="preserve"> </w:t>
      </w:r>
    </w:p>
    <w:p w14:paraId="26FF7323" w14:textId="77777777" w:rsidR="007C1FD9" w:rsidRPr="007C1FD9" w:rsidRDefault="007C1FD9" w:rsidP="007C1FD9">
      <w:pPr>
        <w:jc w:val="both"/>
        <w:rPr>
          <w:sz w:val="24"/>
          <w:szCs w:val="24"/>
          <w:lang w:val="fr-CD"/>
        </w:rPr>
      </w:pPr>
      <w:r w:rsidRPr="007C1FD9">
        <w:rPr>
          <w:sz w:val="24"/>
          <w:szCs w:val="24"/>
          <w:lang w:val="fr-CD"/>
        </w:rPr>
        <w:t xml:space="preserve">Les déclarations de type 2 peuvent être considérées dans la perspective de la formulation d'hypothèses dérivées de la théorie de l'ordre social de Mary Douglas [11, 12, 13, 14]. Douglas reconnaît quatre formes d'ordre social - isolement, hiérarchique, enclave et individualiste - dérivées de deux dimensions universelles de la vie sociale (intégration sociale et régulation sociale). L'enclave et l'ordre hiérarchique sont particulièrement pertinents pour la riposte contre le virus Ebola en Sierra Leone. Les villages de Sierra Leone fonctionnent comme des enclaves politiques [15]. Ils sont en grande partie autonomes. Par exemple, une étude sur la résolution des conflits dans les villages [16] a montré que seulement 4 % des conflits étaient réglés par les tribunaux locaux (supervisés par le gouvernement) - 96 % des cas impliquaient une référence aux chefs de famille ou à d'autres anciens de confiance. </w:t>
      </w:r>
    </w:p>
    <w:p w14:paraId="7FDA2EDD" w14:textId="6DD375F0" w:rsidR="007C1FD9" w:rsidRDefault="007C1FD9" w:rsidP="007C1FD9">
      <w:pPr>
        <w:jc w:val="both"/>
        <w:rPr>
          <w:sz w:val="24"/>
          <w:szCs w:val="24"/>
          <w:lang w:val="fr-CD"/>
        </w:rPr>
      </w:pPr>
      <w:r w:rsidRPr="007C1FD9">
        <w:rPr>
          <w:sz w:val="24"/>
          <w:szCs w:val="24"/>
          <w:lang w:val="fr-CD"/>
        </w:rPr>
        <w:lastRenderedPageBreak/>
        <w:t>Le processus décisionnel suit les modèles de la structure sociale du village. En revanche, une grande partie de la riposte contre le virus Ebola impliquait un ordre hiérarchique. Un exemple serait le personnel médical sur la ligne de front, comme les infirmières et les agents de santé communautaire sous le commandement direct des médecins de district et des hauts fonctionnaires du ministère de la santé et de l'assainissement. Les données de nos groupes de discussion constituent la partie " enclavée " d'un ensemble de données plus complet à analyser ailleurs. Ici, les résultats sont présentés de manière descriptive.</w:t>
      </w:r>
    </w:p>
    <w:p w14:paraId="64606D26" w14:textId="3DA13D7B" w:rsidR="00032BF7" w:rsidRDefault="00032BF7" w:rsidP="007C1FD9">
      <w:pPr>
        <w:jc w:val="both"/>
        <w:rPr>
          <w:b/>
          <w:bCs/>
          <w:sz w:val="32"/>
          <w:szCs w:val="32"/>
          <w:lang w:val="fr-CD"/>
        </w:rPr>
      </w:pPr>
      <w:r w:rsidRPr="00032BF7">
        <w:rPr>
          <w:b/>
          <w:bCs/>
          <w:sz w:val="32"/>
          <w:szCs w:val="32"/>
          <w:lang w:val="fr-CD"/>
        </w:rPr>
        <w:t>Déclaration d'éthique</w:t>
      </w:r>
    </w:p>
    <w:p w14:paraId="6EE2226C" w14:textId="77777777" w:rsidR="00032BF7" w:rsidRPr="00032BF7" w:rsidRDefault="00032BF7" w:rsidP="00032BF7">
      <w:pPr>
        <w:jc w:val="both"/>
        <w:rPr>
          <w:sz w:val="24"/>
          <w:szCs w:val="24"/>
          <w:lang w:val="fr-CD"/>
        </w:rPr>
      </w:pPr>
      <w:r w:rsidRPr="00032BF7">
        <w:rPr>
          <w:sz w:val="24"/>
          <w:szCs w:val="24"/>
          <w:lang w:val="fr-CD"/>
        </w:rPr>
        <w:t xml:space="preserve">Les données ont été recueillies dans le cadre d'un examen indépendant des CCC entrepris par une équipe recrutée par l'institut d'études du développement de l'université du Sussex au point culminant de la crise de la maladie à Ebola en Sierra Leone, vers la fin du mois de décembre 2015. L'objectif urgent était d'évaluer si la nouvelle politique de construction des CSC présentait des défauts majeurs lorsqu'elle était considérée du point de vue des communautés. Ce travail a été considéré comme une "évaluation d'impact" et non comme une recherche primaire. Le protocole de recherche pour les discussions des groupes de discussion communautaires avait été préalablement élaboré par les membres de l'équipe et approuvé par les comités d'examen éthique des universités de </w:t>
      </w:r>
      <w:proofErr w:type="spellStart"/>
      <w:r w:rsidRPr="00032BF7">
        <w:rPr>
          <w:sz w:val="24"/>
          <w:szCs w:val="24"/>
          <w:lang w:val="fr-CD"/>
        </w:rPr>
        <w:t>Njala</w:t>
      </w:r>
      <w:proofErr w:type="spellEnd"/>
      <w:r w:rsidRPr="00032BF7">
        <w:rPr>
          <w:sz w:val="24"/>
          <w:szCs w:val="24"/>
          <w:lang w:val="fr-CD"/>
        </w:rPr>
        <w:t xml:space="preserve"> et de Wageningen. </w:t>
      </w:r>
    </w:p>
    <w:p w14:paraId="6DC07917" w14:textId="25A6D57F" w:rsidR="00032BF7" w:rsidRDefault="00032BF7" w:rsidP="00032BF7">
      <w:pPr>
        <w:jc w:val="both"/>
        <w:rPr>
          <w:sz w:val="24"/>
          <w:szCs w:val="24"/>
          <w:lang w:val="fr-CD"/>
        </w:rPr>
      </w:pPr>
      <w:r w:rsidRPr="00032BF7">
        <w:rPr>
          <w:sz w:val="24"/>
          <w:szCs w:val="24"/>
          <w:lang w:val="fr-CD"/>
        </w:rPr>
        <w:t>L'équipe était également tenue d'appliquer les directives éthiques institutionnelles. Celles-ci garantissaient que toute participation des villageois était volontaire, que la collecte de données était entreprise selon un protocole garantissant la confidentialité des participants et que les chefs de la communauté donnaient leur consentement pour la tenue de groupes de discussion consultatifs. Tous les sujets humains étaient des adultes. Le consentement éclairé était oral, car seule une minorité de participants savait lire et écrire. Le processus impliquait la lecture d'une déclaration de consentement éclairé, après quoi les participants prenaient le temps de parvenir à un accord collectif. Cette démarche était signalée au chef suprême, qui était le gardien de l'intérêt de la communauté. Aucun échantillon de patient ou procédure expérimentale n'a été utilisé.</w:t>
      </w:r>
    </w:p>
    <w:p w14:paraId="386B43D6" w14:textId="77777777" w:rsidR="00032BF7" w:rsidRPr="00032BF7" w:rsidRDefault="00032BF7" w:rsidP="00032BF7">
      <w:pPr>
        <w:jc w:val="both"/>
        <w:rPr>
          <w:b/>
          <w:bCs/>
          <w:sz w:val="32"/>
          <w:szCs w:val="32"/>
          <w:lang w:val="fr-CD"/>
        </w:rPr>
      </w:pPr>
      <w:r w:rsidRPr="00032BF7">
        <w:rPr>
          <w:b/>
          <w:bCs/>
          <w:sz w:val="32"/>
          <w:szCs w:val="32"/>
          <w:lang w:val="fr-CD"/>
        </w:rPr>
        <w:t xml:space="preserve">Résultats </w:t>
      </w:r>
    </w:p>
    <w:p w14:paraId="0C591F77" w14:textId="30F41805" w:rsidR="00032BF7" w:rsidRDefault="00032BF7" w:rsidP="00032BF7">
      <w:pPr>
        <w:jc w:val="both"/>
        <w:rPr>
          <w:b/>
          <w:bCs/>
          <w:sz w:val="24"/>
          <w:szCs w:val="24"/>
          <w:lang w:val="fr-CD"/>
        </w:rPr>
      </w:pPr>
      <w:r w:rsidRPr="00032BF7">
        <w:rPr>
          <w:b/>
          <w:bCs/>
          <w:sz w:val="24"/>
          <w:szCs w:val="24"/>
          <w:lang w:val="fr-CD"/>
        </w:rPr>
        <w:t>Accès aux infrastructures de traitement du virus Ebola</w:t>
      </w:r>
    </w:p>
    <w:p w14:paraId="3D39460F" w14:textId="77777777" w:rsidR="00C2681F" w:rsidRPr="00C2681F" w:rsidRDefault="00C2681F" w:rsidP="00C2681F">
      <w:pPr>
        <w:jc w:val="both"/>
        <w:rPr>
          <w:sz w:val="24"/>
          <w:szCs w:val="24"/>
          <w:lang w:val="fr-CD"/>
        </w:rPr>
      </w:pPr>
      <w:r w:rsidRPr="00C2681F">
        <w:rPr>
          <w:sz w:val="24"/>
          <w:szCs w:val="24"/>
          <w:lang w:val="fr-CD"/>
        </w:rPr>
        <w:t xml:space="preserve">Parmi les commentaires d'évaluation regroupés sous ce thème, il a été constaté que 74 déclarations (77 %) faisaient directement référence aux attentes concernant la distance et la participation de la famille/entre les familles dans les soins aux malades, 47 provenant d'hommes et 27 de femmes. La distance du CTE a été mentionnée 35 fois. Les déclarations exprimaient des obstacles spécifiques tels que le coût du transport, le danger d'un long voyage pour un patient </w:t>
      </w:r>
      <w:r w:rsidRPr="00C2681F">
        <w:rPr>
          <w:sz w:val="24"/>
          <w:szCs w:val="24"/>
          <w:lang w:val="fr-CD"/>
        </w:rPr>
        <w:lastRenderedPageBreak/>
        <w:t xml:space="preserve">gravement malade et les difficultés rencontrées par les familles pour maintenir le contact avec le patient dans un lieu éloigné. </w:t>
      </w:r>
    </w:p>
    <w:p w14:paraId="594188B6" w14:textId="77777777" w:rsidR="00C2681F" w:rsidRPr="00C2681F" w:rsidRDefault="00C2681F" w:rsidP="00C2681F">
      <w:pPr>
        <w:jc w:val="both"/>
        <w:rPr>
          <w:sz w:val="24"/>
          <w:szCs w:val="24"/>
          <w:lang w:val="fr-CD"/>
        </w:rPr>
      </w:pPr>
      <w:r w:rsidRPr="00C2681F">
        <w:rPr>
          <w:sz w:val="24"/>
          <w:szCs w:val="24"/>
          <w:lang w:val="fr-CD"/>
        </w:rPr>
        <w:t xml:space="preserve">Beaucoup de ces commentaires provenaient des quatre villages échantillons des districts de </w:t>
      </w:r>
      <w:proofErr w:type="spellStart"/>
      <w:r w:rsidRPr="00C2681F">
        <w:rPr>
          <w:sz w:val="24"/>
          <w:szCs w:val="24"/>
          <w:lang w:val="fr-CD"/>
        </w:rPr>
        <w:t>Kono</w:t>
      </w:r>
      <w:proofErr w:type="spellEnd"/>
      <w:r w:rsidRPr="00C2681F">
        <w:rPr>
          <w:sz w:val="24"/>
          <w:szCs w:val="24"/>
          <w:lang w:val="fr-CD"/>
        </w:rPr>
        <w:t xml:space="preserve"> et </w:t>
      </w:r>
      <w:proofErr w:type="spellStart"/>
      <w:r w:rsidRPr="00C2681F">
        <w:rPr>
          <w:sz w:val="24"/>
          <w:szCs w:val="24"/>
          <w:lang w:val="fr-CD"/>
        </w:rPr>
        <w:t>Tonkolili</w:t>
      </w:r>
      <w:proofErr w:type="spellEnd"/>
      <w:r w:rsidRPr="00C2681F">
        <w:rPr>
          <w:sz w:val="24"/>
          <w:szCs w:val="24"/>
          <w:lang w:val="fr-CD"/>
        </w:rPr>
        <w:t xml:space="preserve">. Les cas de virus Ebola à </w:t>
      </w:r>
      <w:proofErr w:type="spellStart"/>
      <w:r w:rsidRPr="00C2681F">
        <w:rPr>
          <w:sz w:val="24"/>
          <w:szCs w:val="24"/>
          <w:lang w:val="fr-CD"/>
        </w:rPr>
        <w:t>Kono</w:t>
      </w:r>
      <w:proofErr w:type="spellEnd"/>
      <w:r w:rsidRPr="00C2681F">
        <w:rPr>
          <w:sz w:val="24"/>
          <w:szCs w:val="24"/>
          <w:lang w:val="fr-CD"/>
        </w:rPr>
        <w:t xml:space="preserve"> ont d'abord été dirigés vers le CTE de Kenema, à une distance d'environ 100 km, mais tous sur des routes en très mauvais état. Les patients des deux villages de </w:t>
      </w:r>
      <w:proofErr w:type="spellStart"/>
      <w:r w:rsidRPr="00C2681F">
        <w:rPr>
          <w:sz w:val="24"/>
          <w:szCs w:val="24"/>
          <w:lang w:val="fr-CD"/>
        </w:rPr>
        <w:t>Tonkolili</w:t>
      </w:r>
      <w:proofErr w:type="spellEnd"/>
      <w:r w:rsidRPr="00C2681F">
        <w:rPr>
          <w:sz w:val="24"/>
          <w:szCs w:val="24"/>
          <w:lang w:val="fr-CD"/>
        </w:rPr>
        <w:t xml:space="preserve"> ont dû se rendre au centre de traitement de Bo, à plus de 150 km, puis à Makeni, à environ 80 km. Le problème des deux trajets était la première partie sur des pistes en mauvais état. </w:t>
      </w:r>
    </w:p>
    <w:p w14:paraId="42269119" w14:textId="77777777" w:rsidR="00C2681F" w:rsidRPr="00C2681F" w:rsidRDefault="00C2681F" w:rsidP="00C2681F">
      <w:pPr>
        <w:jc w:val="both"/>
        <w:rPr>
          <w:sz w:val="24"/>
          <w:szCs w:val="24"/>
          <w:lang w:val="fr-CD"/>
        </w:rPr>
      </w:pPr>
      <w:r w:rsidRPr="00C2681F">
        <w:rPr>
          <w:sz w:val="24"/>
          <w:szCs w:val="24"/>
          <w:lang w:val="fr-CD"/>
        </w:rPr>
        <w:t xml:space="preserve">Les avantages d'une infrastructure locale de traitement du virus Ebola (CSC) ont été mentionnés 39 fois. Parmi les raisons invoquées figuraient la possibilité de maintenir le contact avec le patient et la possibilité de remplir les devoirs de soins attendus. Les valeurs locales sont particulièrement évidentes dans le commentaire suivant sur le rôle de la communauté dans la décision d'une personne malade de se présenter pour un diagnostic. Comme l'a dit un répondant : "Nous, les membres de la communauté, surveillons les problèmes de santé des uns et des autres et pouvons facilement conseiller à toute personne malade de se présenter au CSC". </w:t>
      </w:r>
    </w:p>
    <w:p w14:paraId="5C9943E6" w14:textId="77777777" w:rsidR="00C2681F" w:rsidRPr="00C2681F" w:rsidRDefault="00C2681F" w:rsidP="00C2681F">
      <w:pPr>
        <w:jc w:val="both"/>
        <w:rPr>
          <w:sz w:val="24"/>
          <w:szCs w:val="24"/>
          <w:lang w:val="fr-CD"/>
        </w:rPr>
      </w:pPr>
      <w:r w:rsidRPr="00C2681F">
        <w:rPr>
          <w:sz w:val="24"/>
          <w:szCs w:val="24"/>
          <w:lang w:val="fr-CD"/>
        </w:rPr>
        <w:t>L'exclusion du groupe est l'une des sanctions sociales les plus sévères dont dispose la communauté enclavée [15]. Il est important que les patients ne se sentent pas abandonnés par leur famille, même si les visiteurs ne peuvent se rassembler qu'aux marges de la "zone rouge" et converser à distance. Bien entendu, cela était plus facile à réaliser dans le petit CSC que dans le CTE beaucoup plus grand et hautement sécurisé.</w:t>
      </w:r>
    </w:p>
    <w:p w14:paraId="1F4A4213" w14:textId="32BFDDB8" w:rsidR="00032BF7" w:rsidRDefault="00C2681F" w:rsidP="00032BF7">
      <w:pPr>
        <w:jc w:val="both"/>
        <w:rPr>
          <w:b/>
          <w:bCs/>
          <w:sz w:val="24"/>
          <w:szCs w:val="24"/>
          <w:lang w:val="fr-CD"/>
        </w:rPr>
      </w:pPr>
      <w:r w:rsidRPr="00C2681F">
        <w:rPr>
          <w:b/>
          <w:bCs/>
          <w:sz w:val="24"/>
          <w:szCs w:val="24"/>
          <w:lang w:val="fr-CD"/>
        </w:rPr>
        <w:t>Rendre visite aux patients et les nourrir</w:t>
      </w:r>
    </w:p>
    <w:p w14:paraId="2F937363" w14:textId="77777777" w:rsidR="00B457F0" w:rsidRPr="00B457F0" w:rsidRDefault="00B457F0" w:rsidP="00B457F0">
      <w:pPr>
        <w:jc w:val="both"/>
        <w:rPr>
          <w:sz w:val="24"/>
          <w:szCs w:val="24"/>
          <w:lang w:val="fr-CD"/>
        </w:rPr>
      </w:pPr>
      <w:r w:rsidRPr="00B457F0">
        <w:rPr>
          <w:sz w:val="24"/>
          <w:szCs w:val="24"/>
          <w:lang w:val="fr-CD"/>
        </w:rPr>
        <w:t>Les visites et le partage de la nourriture sont un moyen important d'exprimer les liens sociaux des communautés en situation d'enclavement dans la campagne sierra-léonaise. Les villageois s'engagent à rendre visite toute leur vie à ceux avec qui ils sont liés par la parenté, le mariage ou le patronage [15, 17]. Ces visites couvrent une grande variété de raisons sociales. Les visites de malades sont toujours une priorité, surtout pour les membres de la famille et de la belle-famille. Une visite aux malades consiste à offrir des prières et des bons vœux, à consoler et à encourager la personne malade, et à donner un coup de main aux personnes qui s'occupent d'elle. La nourriture est souvent apportée et partagée.</w:t>
      </w:r>
    </w:p>
    <w:p w14:paraId="46BE6E7D" w14:textId="77777777" w:rsidR="00B457F0" w:rsidRPr="00B457F0" w:rsidRDefault="00B457F0" w:rsidP="00B457F0">
      <w:pPr>
        <w:jc w:val="both"/>
        <w:rPr>
          <w:sz w:val="24"/>
          <w:szCs w:val="24"/>
          <w:lang w:val="fr-CD"/>
        </w:rPr>
      </w:pPr>
      <w:r w:rsidRPr="00B457F0">
        <w:rPr>
          <w:sz w:val="24"/>
          <w:szCs w:val="24"/>
          <w:lang w:val="fr-CD"/>
        </w:rPr>
        <w:t xml:space="preserve">Le virus Ebola a perturbé les habitudes normales de visite des malades, ce qui a menacé l'expression des solidarités communautaires. Au départ, les communautés ont résisté aux changements qui s'imposaient. Les patients étaient parfois cachés, et les enterrements se faisaient en secret. Mais la maladie est très dramatique, et révèle rapidement, par la façon dont elle se propage de la première victime aux proches aidants, qu'elle se transmet par contact corporel direct. Confrontés à la perte d'un membre de la famille à cause du CTE éloigné ou à la </w:t>
      </w:r>
      <w:r w:rsidRPr="00B457F0">
        <w:rPr>
          <w:sz w:val="24"/>
          <w:szCs w:val="24"/>
          <w:lang w:val="fr-CD"/>
        </w:rPr>
        <w:lastRenderedPageBreak/>
        <w:t xml:space="preserve">tentative de soins à domicile, les villageois ont expérimenté des moyens de se protéger, tout en continuant à s'occuper des victimes de la maladie. Des preuves concernant l'utilisation de mesures de protection improvisées, telles que des sachets en plastique pour se couvrir les mains et le visage lorsque des patients sont soignés, ont été rapportées [1]. </w:t>
      </w:r>
    </w:p>
    <w:p w14:paraId="12A17CDE" w14:textId="77777777" w:rsidR="00B457F0" w:rsidRPr="00B457F0" w:rsidRDefault="00B457F0" w:rsidP="00B457F0">
      <w:pPr>
        <w:jc w:val="both"/>
        <w:rPr>
          <w:sz w:val="24"/>
          <w:szCs w:val="24"/>
          <w:lang w:val="fr-CD"/>
        </w:rPr>
      </w:pPr>
      <w:r w:rsidRPr="00B457F0">
        <w:rPr>
          <w:sz w:val="24"/>
          <w:szCs w:val="24"/>
          <w:lang w:val="fr-CD"/>
        </w:rPr>
        <w:t xml:space="preserve">Les familles ont également continué à souligner l'importance de l'alimentation à domicile, nécessaire au rétablissement. Une telle aide était impossible dans un CTE éloigné, mais elle est devenue possible dans </w:t>
      </w:r>
      <w:proofErr w:type="gramStart"/>
      <w:r w:rsidRPr="00B457F0">
        <w:rPr>
          <w:sz w:val="24"/>
          <w:szCs w:val="24"/>
          <w:lang w:val="fr-CD"/>
        </w:rPr>
        <w:t>un CSC local</w:t>
      </w:r>
      <w:proofErr w:type="gramEnd"/>
      <w:r w:rsidRPr="00B457F0">
        <w:rPr>
          <w:sz w:val="24"/>
          <w:szCs w:val="24"/>
          <w:lang w:val="fr-CD"/>
        </w:rPr>
        <w:t xml:space="preserve">, où une grande partie du personnel de cuisine a été recrutée dans le village, et a accepté de répondre aux souhaits des villageois qui ont apporté de la nourriture cuisinée à la maison pour les victimes du virus Ebola. Le CTE s'est amélioré au fil du temps dans le cadre de la liaison communautaire [18], mais la distance a empêché la préparation de </w:t>
      </w:r>
      <w:proofErr w:type="gramStart"/>
      <w:r w:rsidRPr="00B457F0">
        <w:rPr>
          <w:sz w:val="24"/>
          <w:szCs w:val="24"/>
          <w:lang w:val="fr-CD"/>
        </w:rPr>
        <w:t>plats maison</w:t>
      </w:r>
      <w:proofErr w:type="gramEnd"/>
      <w:r w:rsidRPr="00B457F0">
        <w:rPr>
          <w:sz w:val="24"/>
          <w:szCs w:val="24"/>
          <w:lang w:val="fr-CD"/>
        </w:rPr>
        <w:t xml:space="preserve">. </w:t>
      </w:r>
    </w:p>
    <w:p w14:paraId="584000C0" w14:textId="77777777" w:rsidR="00B457F0" w:rsidRPr="00B457F0" w:rsidRDefault="00B457F0" w:rsidP="00B457F0">
      <w:pPr>
        <w:jc w:val="both"/>
        <w:rPr>
          <w:sz w:val="24"/>
          <w:szCs w:val="24"/>
          <w:lang w:val="fr-CD"/>
        </w:rPr>
      </w:pPr>
      <w:r w:rsidRPr="00B457F0">
        <w:rPr>
          <w:sz w:val="24"/>
          <w:szCs w:val="24"/>
          <w:lang w:val="fr-CD"/>
        </w:rPr>
        <w:t xml:space="preserve">En tout, 227 déclarations de 195 personnes ont été faites en réponse aux questions de savoir si les malades pouvaient être visités dans le CSC, et dans quelles conditions ; tous les villages de référence étaient situés dans la même section administrative de la chefferie que le village dans lequel se trouvait le CSC, de sorte qu'il a également été demandé aux habitants de ces villages ce qu'ils savaient et ce qu'ils pensaient du CSC, même s'il n'était pas situé dans leur village. Une proportion importante (56%) de toutes les réponses concernait la question de savoir si les familles étaient ou non autorisées à rendre visite aux patients et à contribuer à leurs soins dans le CSC. </w:t>
      </w:r>
    </w:p>
    <w:p w14:paraId="05A9A401" w14:textId="476D83D7" w:rsidR="00C2681F" w:rsidRDefault="00B457F0" w:rsidP="00B457F0">
      <w:pPr>
        <w:jc w:val="both"/>
        <w:rPr>
          <w:sz w:val="24"/>
          <w:szCs w:val="24"/>
          <w:lang w:val="fr-CD"/>
        </w:rPr>
      </w:pPr>
      <w:r w:rsidRPr="00B457F0">
        <w:rPr>
          <w:sz w:val="24"/>
          <w:szCs w:val="24"/>
          <w:lang w:val="fr-CD"/>
        </w:rPr>
        <w:t>Les déclarations étaient souvent soigneusement formulées - par exemple, que les centres permettaient aux familles de rendre visite aux patients et de communiquer avec eux, mais pas d'entrer dans les "zones rouges", ou que la nourriture à domicile était acceptée, mais que les familles ne pouvaient pas, elles-mêmes, la servir aux patients, etc. Environ la moitié des participants ont insisté sur le fait que les visites et les soins familiaux n'étaient pas autorisés ou encouragés. Les participants des villages ayant le CSC étaient plus susceptibles de déclarer qu'il y avait une possibilité de rendre visite aux patients, bien que cela ait également été fréquemment mentionné dans les déclarations des villages de surveillance. Un plus petit nombre de réponses ont indiqué que le CSC offrait un traitement gratuit, un traitement pour d'autres maladies et un test rapide pour les MVE. L'alimentation des patients a été mentionnée dans dix pour cent des déclarations. La prise en charge des CSC dans les cas autres que ceux du virus Ebola a également été parfois évoquée. Un homme a déclaré : "ma femme avait de graves maux d'estomac, et elle a été traitée et nourrie gratuitement au centre".</w:t>
      </w:r>
    </w:p>
    <w:p w14:paraId="4F67A86B" w14:textId="09FF0EB1" w:rsidR="00B457F0" w:rsidRDefault="00B457F0" w:rsidP="00B457F0">
      <w:pPr>
        <w:jc w:val="both"/>
        <w:rPr>
          <w:b/>
          <w:bCs/>
          <w:sz w:val="24"/>
          <w:szCs w:val="24"/>
          <w:lang w:val="fr-CD"/>
        </w:rPr>
      </w:pPr>
      <w:r w:rsidRPr="00B457F0">
        <w:rPr>
          <w:b/>
          <w:bCs/>
          <w:sz w:val="24"/>
          <w:szCs w:val="24"/>
          <w:lang w:val="fr-CD"/>
        </w:rPr>
        <w:t>Enterrements, cérémonies funéraires et déclaration de décès des patients</w:t>
      </w:r>
    </w:p>
    <w:p w14:paraId="4491D53E" w14:textId="77777777" w:rsidR="00175A0D" w:rsidRPr="00175A0D" w:rsidRDefault="00175A0D" w:rsidP="00175A0D">
      <w:pPr>
        <w:jc w:val="both"/>
        <w:rPr>
          <w:sz w:val="24"/>
          <w:szCs w:val="24"/>
          <w:lang w:val="fr-CD"/>
        </w:rPr>
      </w:pPr>
      <w:r w:rsidRPr="00175A0D">
        <w:rPr>
          <w:sz w:val="24"/>
          <w:szCs w:val="24"/>
          <w:lang w:val="fr-CD"/>
        </w:rPr>
        <w:t xml:space="preserve">Les groupes de discussion ont souvent soulevé des questions relatives aux règles d'enterrement sûr introduites pour briser les chaînes d'infection au virus Ebola. Les procédures officielles exigeaient que les cadavres soient systématiquement soumis à des prélèvements pour évaluer si </w:t>
      </w:r>
      <w:r w:rsidRPr="00175A0D">
        <w:rPr>
          <w:sz w:val="24"/>
          <w:szCs w:val="24"/>
          <w:lang w:val="fr-CD"/>
        </w:rPr>
        <w:lastRenderedPageBreak/>
        <w:t xml:space="preserve">le défunt était mort de la maladie à virus Ebola. À partir d'août 2014, tous les enterrements devaient être effectués par une équipe formée à " l'enterrement sûr ", que le prélèvement soit positif ou non. L'équipe devait asperger le corps de chlore et le placer dans un sac mortuaire. Il serait ensuite enterré dans une tombe préparée à la hâte, avec un minimum de cérémonie. Au départ, la famille était exclue, mais à partir de novembre 2014, les familles ont été autorisées à participer à distance. Tout contact avec le corps était interdit. </w:t>
      </w:r>
    </w:p>
    <w:p w14:paraId="29AE843D" w14:textId="77777777" w:rsidR="00175A0D" w:rsidRPr="00175A0D" w:rsidRDefault="00175A0D" w:rsidP="00175A0D">
      <w:pPr>
        <w:jc w:val="both"/>
        <w:rPr>
          <w:sz w:val="24"/>
          <w:szCs w:val="24"/>
          <w:lang w:val="fr-CD"/>
        </w:rPr>
      </w:pPr>
      <w:r w:rsidRPr="00175A0D">
        <w:rPr>
          <w:sz w:val="24"/>
          <w:szCs w:val="24"/>
          <w:lang w:val="fr-CD"/>
        </w:rPr>
        <w:t xml:space="preserve">Les équipes d'inhumation opéraient également à partir de certains CSC. Mais ici, il était plus facile d'informer les familles et d'organiser l'enterrement dans la communauté de la victime, puisque celle-ci était désormais à portée de main. Les familles étaient autorisées à assister aux enterrements et à observer à distance. Mais les appels répétés des communautés à fournir des volontaires pour recevoir la formation et l'équipement de protection nécessaires pour effectuer leurs propres enterrements en toute sécurité ont été ignorés ou rejetés par la riposte internationale. </w:t>
      </w:r>
    </w:p>
    <w:p w14:paraId="2713F466" w14:textId="77777777" w:rsidR="00175A0D" w:rsidRPr="00175A0D" w:rsidRDefault="00175A0D" w:rsidP="00175A0D">
      <w:pPr>
        <w:jc w:val="both"/>
        <w:rPr>
          <w:sz w:val="24"/>
          <w:szCs w:val="24"/>
          <w:lang w:val="fr-CD"/>
        </w:rPr>
      </w:pPr>
      <w:r w:rsidRPr="00175A0D">
        <w:rPr>
          <w:sz w:val="24"/>
          <w:szCs w:val="24"/>
          <w:lang w:val="fr-CD"/>
        </w:rPr>
        <w:t xml:space="preserve">Étant donné l'importance des funérailles comme moyen de cimenter les relations sociales dans les communautés condamnées à l'isolement, on s'attendait à ce que de nombreux commentaires des groupes de discussion portent sur l'importance de la participation des familles à l'enterrement. Mais comme les "enterrements sûrs" pendant la crise du virus Ebola impliquaient de nouvelles réglementations imposées par l'État, on s'attendait également à ce que certains commentaires reflètent l'ordre hiérarchique selon lequel les chefs de village et les anciens administrent le système de gouvernement local "coutumier" de la Sierra Leone rurale. </w:t>
      </w:r>
    </w:p>
    <w:p w14:paraId="4393B789" w14:textId="77777777" w:rsidR="00175A0D" w:rsidRPr="00175A0D" w:rsidRDefault="00175A0D" w:rsidP="00175A0D">
      <w:pPr>
        <w:jc w:val="both"/>
        <w:rPr>
          <w:sz w:val="24"/>
          <w:szCs w:val="24"/>
          <w:lang w:val="fr-CD"/>
        </w:rPr>
      </w:pPr>
      <w:r w:rsidRPr="00175A0D">
        <w:rPr>
          <w:sz w:val="24"/>
          <w:szCs w:val="24"/>
          <w:lang w:val="fr-CD"/>
        </w:rPr>
        <w:t xml:space="preserve">Ces attentes ont été satisfaites. Au total, 150 commentaires ont été formulés par les groupes de discussion concernant l'enterrement, les cérémonies funéraires et la déclaration du décès des patients atteints du virus Ebola. 71 (47%) des déclarations d'évaluation ont été classées comme étant alignées sur les perspectives ordonnées des enclaves et 33 (22%) ont été classées comme étant alignées sur les perspectives ordonnées hiérarchiquement. </w:t>
      </w:r>
    </w:p>
    <w:p w14:paraId="14F4CB61" w14:textId="77777777" w:rsidR="00175A0D" w:rsidRPr="00175A0D" w:rsidRDefault="00175A0D" w:rsidP="00175A0D">
      <w:pPr>
        <w:jc w:val="both"/>
        <w:rPr>
          <w:sz w:val="24"/>
          <w:szCs w:val="24"/>
          <w:lang w:val="fr-CD"/>
        </w:rPr>
      </w:pPr>
      <w:r w:rsidRPr="00175A0D">
        <w:rPr>
          <w:sz w:val="24"/>
          <w:szCs w:val="24"/>
          <w:lang w:val="fr-CD"/>
        </w:rPr>
        <w:t xml:space="preserve">Les exemples de perspectives "d'enclave" comprenaient des demandes ou des suggestions pour que les familles soient formées ou habilitées à organiser des funérailles. "Nous porterons un équipement de protection et nous ferons l'enterrement nous-mêmes" a été l'une des déclarations. Un autre intervenant a insisté : "Que le CSC nous donne des équipements de protection (gants et EPI) et remette le corps aux membres de la famille, qui le laveront, l'habilleront et prieront pour le corps". Les gens n'étaient pas opposés aux mesures de protection en tant que telles, mais voulaient que les membres de la famille soient formés à l'application de ces mesures : "Le personnel du CSC doit apporter le corps à la famille et lui donner un équipement de protection pour qu'elle puisse enterrer ses morts." </w:t>
      </w:r>
    </w:p>
    <w:p w14:paraId="0E2AFC18" w14:textId="77777777" w:rsidR="00175A0D" w:rsidRPr="00175A0D" w:rsidRDefault="00175A0D" w:rsidP="00175A0D">
      <w:pPr>
        <w:jc w:val="both"/>
        <w:rPr>
          <w:sz w:val="24"/>
          <w:szCs w:val="24"/>
          <w:lang w:val="fr-CD"/>
        </w:rPr>
      </w:pPr>
      <w:r w:rsidRPr="00175A0D">
        <w:rPr>
          <w:sz w:val="24"/>
          <w:szCs w:val="24"/>
          <w:lang w:val="fr-CD"/>
        </w:rPr>
        <w:lastRenderedPageBreak/>
        <w:t>D'autres commentaires demandaient que les équipes d'inhumation permettent aux membres de la famille d'assister aux enterrements, souhaitaient que les équipes enterrent les victimes sur les terres familiales ou dans le village de la victime, et espéraient que les "enterrements sûrs" par le personnel du CSC suivent les pratiques rituelles du village. L'idée d'exclure les familles des enterrements était une source de préoccupation ; un intervenant a fait remarquer : "le gouvernement les enterrera ; la famille ne verra jamais le cadavre", ce qui laisse entendre qu'un enterrement "gouvernemental" serait un scandale.</w:t>
      </w:r>
    </w:p>
    <w:p w14:paraId="18E34238" w14:textId="39535C03" w:rsidR="00B457F0" w:rsidRDefault="00175A0D" w:rsidP="00175A0D">
      <w:pPr>
        <w:jc w:val="both"/>
        <w:rPr>
          <w:sz w:val="24"/>
          <w:szCs w:val="24"/>
          <w:lang w:val="fr-CD"/>
        </w:rPr>
      </w:pPr>
      <w:r w:rsidRPr="00175A0D">
        <w:rPr>
          <w:sz w:val="24"/>
          <w:szCs w:val="24"/>
          <w:lang w:val="fr-CD"/>
        </w:rPr>
        <w:t xml:space="preserve">Une deuxième série, moins complète, de 34 déclarations, contenait des éléments reflétant ou approuvant les règlements adoptés par le gouvernement concernant le virus Ebola. S'appuyant sur des règles élaborées pour la première fois par les chefs du district de </w:t>
      </w:r>
      <w:proofErr w:type="spellStart"/>
      <w:r w:rsidRPr="00175A0D">
        <w:rPr>
          <w:sz w:val="24"/>
          <w:szCs w:val="24"/>
          <w:lang w:val="fr-CD"/>
        </w:rPr>
        <w:t>Kailahun</w:t>
      </w:r>
      <w:proofErr w:type="spellEnd"/>
      <w:r w:rsidRPr="00175A0D">
        <w:rPr>
          <w:sz w:val="24"/>
          <w:szCs w:val="24"/>
          <w:lang w:val="fr-CD"/>
        </w:rPr>
        <w:t xml:space="preserve"> (l'épicentre de la maladie en Sierra Leone), ces exigences ont été promulguées sous la forme d'un ensemble de règlements nationaux pour la lutte contre le virus Ebola en août 2014 [19]. Les déclarations typiques reprennent les règlements ou font référence à des questions épidémiologiques. Par exemple : "L'équipe d'inhumation enterrera de la façon dont les autorités (l'exigent), (supervisée) par les agents de santé" ou "laissez l'équipe d'inhumation continuer à faire l'inhumation, comme elle l'a fait" et "Je vais conseiller (que) nous appelions l'équipe d'inhumation à venir faire l'inhumation, pour éviter la propagation de la maladie".</w:t>
      </w:r>
    </w:p>
    <w:p w14:paraId="2B5DD6B0" w14:textId="77777777" w:rsidR="00D10A1A" w:rsidRPr="00D10A1A" w:rsidRDefault="00D10A1A" w:rsidP="00D10A1A">
      <w:pPr>
        <w:jc w:val="both"/>
        <w:rPr>
          <w:sz w:val="24"/>
          <w:szCs w:val="24"/>
          <w:lang w:val="fr-CD"/>
        </w:rPr>
      </w:pPr>
      <w:r w:rsidRPr="00D10A1A">
        <w:rPr>
          <w:sz w:val="24"/>
          <w:szCs w:val="24"/>
          <w:lang w:val="fr-CD"/>
        </w:rPr>
        <w:t>Troisièmement, l'ordre d'enclave impose une forte insistance sur la manière de signaler la mort. Il exige qu'il soit fait en temps voulu mais de manière formelle, par ceux qui ont une connaissance directe des circonstances, les chefs des familles touchées. Tout ce qui est occasionnel, qui s'approche de la rumeur ou du commérage, est mal vu. Dans le cas d'un aîné, un mot déplacé peut entraîner une amende. En effet, la communauté rurale enclavée en Sierra Leone est une entité d'autosurveillance. Les familles doivent s'informer les unes les autres ; le recours à la machine étatique pour signaler les naissances et les décès n'est pas encore accepté comme une évidence.</w:t>
      </w:r>
    </w:p>
    <w:p w14:paraId="4DFDAF30" w14:textId="724819A0" w:rsidR="00175A0D" w:rsidRDefault="00D10A1A" w:rsidP="00D10A1A">
      <w:pPr>
        <w:jc w:val="both"/>
        <w:rPr>
          <w:sz w:val="24"/>
          <w:szCs w:val="24"/>
          <w:lang w:val="fr-CD"/>
        </w:rPr>
      </w:pPr>
      <w:r w:rsidRPr="00D10A1A">
        <w:rPr>
          <w:sz w:val="24"/>
          <w:szCs w:val="24"/>
          <w:lang w:val="fr-CD"/>
        </w:rPr>
        <w:t xml:space="preserve">Les membres du groupe de discussion ont été invités à discuter de leurs préférences quant aux moyens d'être informés des décès des victimes du virus Ebola. Comme prévu, de nombreux commentaires ont souligné l'importance des rapports en face à face entre le centre de traitement des cas et le chef de famille concerné. Les commentaires des groupes de discussion n'ont pas permis de déterminer clairement s'il existait un protocole convenu pour signaler les décès aux familles. Il a été dit que parfois les rapports passaient par les chefs. Mais il a été jugé utile que les centres soient suffisamment proches pour permettre des visites, et certains décès ont été signalés de la manière requise en face à face, peut-être parce qu'ils employaient des personnes locales, qui connaissaient les familles et savaient quoi faire. En fait, la tradition est souple, et un bon nombre de personnes ont déclaré qu'elles considéraient qu'un appel téléphonique ou une annonce à la radio était acceptable. Ces médias sont largement utilisés dans la pratique funéraire </w:t>
      </w:r>
      <w:r w:rsidRPr="00D10A1A">
        <w:rPr>
          <w:sz w:val="24"/>
          <w:szCs w:val="24"/>
          <w:lang w:val="fr-CD"/>
        </w:rPr>
        <w:lastRenderedPageBreak/>
        <w:t xml:space="preserve">en Sierra Leone. Ces annonces permettent aux membres de la famille dispersés d'être pleinement et rapidement informés. Le problème est davantage lié à l'acheminement et au moment de l'annonce qu'au média. La caractéristique principale est que le message </w:t>
      </w:r>
      <w:r>
        <w:rPr>
          <w:sz w:val="24"/>
          <w:szCs w:val="24"/>
          <w:lang w:val="fr-CD"/>
        </w:rPr>
        <w:t>soit</w:t>
      </w:r>
      <w:r w:rsidRPr="00D10A1A">
        <w:rPr>
          <w:sz w:val="24"/>
          <w:szCs w:val="24"/>
          <w:lang w:val="fr-CD"/>
        </w:rPr>
        <w:t xml:space="preserve"> transmis </w:t>
      </w:r>
      <w:r>
        <w:rPr>
          <w:sz w:val="24"/>
          <w:szCs w:val="24"/>
          <w:lang w:val="fr-CD"/>
        </w:rPr>
        <w:t>a</w:t>
      </w:r>
      <w:r w:rsidRPr="00D10A1A">
        <w:rPr>
          <w:sz w:val="24"/>
          <w:szCs w:val="24"/>
          <w:lang w:val="fr-CD"/>
        </w:rPr>
        <w:t xml:space="preserve">u moment opportun </w:t>
      </w:r>
      <w:r>
        <w:rPr>
          <w:sz w:val="24"/>
          <w:szCs w:val="24"/>
          <w:lang w:val="fr-CD"/>
        </w:rPr>
        <w:t xml:space="preserve">et </w:t>
      </w:r>
      <w:r w:rsidRPr="00D10A1A">
        <w:rPr>
          <w:sz w:val="24"/>
          <w:szCs w:val="24"/>
          <w:lang w:val="fr-CD"/>
        </w:rPr>
        <w:t>au bon destinataire.</w:t>
      </w:r>
    </w:p>
    <w:p w14:paraId="530C1685" w14:textId="02548A8D" w:rsidR="00D10A1A" w:rsidRDefault="00D10A1A" w:rsidP="00D10A1A">
      <w:pPr>
        <w:jc w:val="both"/>
        <w:rPr>
          <w:b/>
          <w:bCs/>
          <w:sz w:val="24"/>
          <w:szCs w:val="24"/>
          <w:lang w:val="fr-CD"/>
        </w:rPr>
      </w:pPr>
      <w:r w:rsidRPr="00D10A1A">
        <w:rPr>
          <w:b/>
          <w:bCs/>
          <w:sz w:val="24"/>
          <w:szCs w:val="24"/>
          <w:lang w:val="fr-CD"/>
        </w:rPr>
        <w:t xml:space="preserve">L'acquisition de terrains pour la création </w:t>
      </w:r>
      <w:proofErr w:type="gramStart"/>
      <w:r w:rsidRPr="00D10A1A">
        <w:rPr>
          <w:b/>
          <w:bCs/>
          <w:sz w:val="24"/>
          <w:szCs w:val="24"/>
          <w:lang w:val="fr-CD"/>
        </w:rPr>
        <w:t>d'un CSC</w:t>
      </w:r>
      <w:proofErr w:type="gramEnd"/>
    </w:p>
    <w:p w14:paraId="011BC4FB" w14:textId="77777777" w:rsidR="00D10A1A" w:rsidRPr="00D10A1A" w:rsidRDefault="00D10A1A" w:rsidP="00D10A1A">
      <w:pPr>
        <w:jc w:val="both"/>
        <w:rPr>
          <w:sz w:val="24"/>
          <w:szCs w:val="24"/>
          <w:lang w:val="fr-CD"/>
        </w:rPr>
      </w:pPr>
      <w:r w:rsidRPr="00D10A1A">
        <w:rPr>
          <w:sz w:val="24"/>
          <w:szCs w:val="24"/>
          <w:lang w:val="fr-CD"/>
        </w:rPr>
        <w:t xml:space="preserve">Un conflit de valeurs institutionnelles entre les communautés et les agents de riposte, potentiellement gênant, concernait l'acquisition de sites pour le CSC. La terre est une question controversée dans les zones rurales de la Sierra Leone car elle soulève un compromis fait par la puissance coloniale britannique au début du 20e siècle sur l'autorité de l'État par rapport aux familles propriétaires de terres. Le chef suprême est le "gardien" de la terre mais il négocie les intérêts divergents des familles et du gouvernement. Les acteurs internationaux de la lutte contre le virus Ebola voulaient rapidement obtenir des terres pour les CSC. Pour cela, ils se sont tournés vers les chefs suprêmes pour une action rapide, mais il y a eu souvent un refus de la part des familles, qui ont fait remarquer que la décision finale leur revenait. Les CSC étaient les bienvenus, mais pas nécessairement sur "notre" terrain. A cet égard, il y a eu un conflit d'intérêt entre les acteurs et les communautés. </w:t>
      </w:r>
    </w:p>
    <w:p w14:paraId="21608C9B" w14:textId="77777777" w:rsidR="00D10A1A" w:rsidRPr="00D10A1A" w:rsidRDefault="00D10A1A" w:rsidP="00D10A1A">
      <w:pPr>
        <w:jc w:val="both"/>
        <w:rPr>
          <w:sz w:val="24"/>
          <w:szCs w:val="24"/>
          <w:lang w:val="fr-CD"/>
        </w:rPr>
      </w:pPr>
      <w:r w:rsidRPr="00D10A1A">
        <w:rPr>
          <w:sz w:val="24"/>
          <w:szCs w:val="24"/>
          <w:lang w:val="fr-CD"/>
        </w:rPr>
        <w:t>Les noms des familles propriétaires de terres sont bien connus des communautés, bien que les gens aient tendance à ne pas annoncer ouvertement leur propriété. Dans toute décision concernant les terres, les familles propriétaires et les chefs doivent être impliqués. Un participant à un groupe de discussion a bien mis les choses au point en déclarant que "le chef doit être approché pour qu'il vous conduise au propriétaire de la terre. Le propriétaire va maintenant négocier avec la personne qui veut la terre".</w:t>
      </w:r>
    </w:p>
    <w:p w14:paraId="0FFECB5D" w14:textId="77777777" w:rsidR="00D10A1A" w:rsidRPr="00D10A1A" w:rsidRDefault="00D10A1A" w:rsidP="00D10A1A">
      <w:pPr>
        <w:jc w:val="both"/>
        <w:rPr>
          <w:sz w:val="24"/>
          <w:szCs w:val="24"/>
          <w:lang w:val="fr-CD"/>
        </w:rPr>
      </w:pPr>
      <w:r w:rsidRPr="00D10A1A">
        <w:rPr>
          <w:sz w:val="24"/>
          <w:szCs w:val="24"/>
          <w:lang w:val="fr-CD"/>
        </w:rPr>
        <w:t>Les données des groupes de discussion montrent que les familles ont offert des terres gratuitement en geste de solidarité communautaire, mais qu'elles ont accueilli favorablement ou exigé une reconnaissance : "Nous avons été consultés par le chef et nous avons accepté de donner la terre même s'ils ne l'ont pas payée, mais nous avons été respectés dans le processus d'obtention de la terre". Cette exigence de respect a servi à renforcer le point de vue local de base selon lequel toute terre est une terre familiale et ne peut être expropriée, même en cas d'urgence. La souveraineté familiale est également apparente dans les extraits des groupes de discussion exprimant leur mécontentement et leurs compromis sur la terre (voir les données justificatives). Certaines déclarations exprimaient à la fois l'insatisfaction et l'inquiétude : "Nous n'étions pas satisfaits (de) la façon dont nous étions traités. Nous voulions semer la confusion [créer des troubles] mais [nous ne l'avons pas fait parce que] nous étions en train de penser à la maladie à virus Ebola".</w:t>
      </w:r>
    </w:p>
    <w:p w14:paraId="0053E9D1" w14:textId="03560531" w:rsidR="00D10A1A" w:rsidRDefault="00D10A1A" w:rsidP="00D10A1A">
      <w:pPr>
        <w:jc w:val="both"/>
        <w:rPr>
          <w:b/>
          <w:bCs/>
          <w:sz w:val="32"/>
          <w:szCs w:val="32"/>
          <w:lang w:val="fr-CD"/>
        </w:rPr>
      </w:pPr>
      <w:r w:rsidRPr="00D10A1A">
        <w:rPr>
          <w:b/>
          <w:bCs/>
          <w:sz w:val="32"/>
          <w:szCs w:val="32"/>
          <w:lang w:val="fr-CD"/>
        </w:rPr>
        <w:t>Discussion</w:t>
      </w:r>
    </w:p>
    <w:p w14:paraId="1AB7004F" w14:textId="77777777" w:rsidR="00C67883" w:rsidRPr="00C67883" w:rsidRDefault="00C67883" w:rsidP="00C67883">
      <w:pPr>
        <w:jc w:val="both"/>
        <w:rPr>
          <w:sz w:val="24"/>
          <w:szCs w:val="24"/>
          <w:lang w:val="fr-CD"/>
        </w:rPr>
      </w:pPr>
      <w:r w:rsidRPr="00C67883">
        <w:rPr>
          <w:sz w:val="24"/>
          <w:szCs w:val="24"/>
          <w:lang w:val="fr-CD"/>
        </w:rPr>
        <w:lastRenderedPageBreak/>
        <w:t xml:space="preserve">La présente étude a analysé les réactions des familles aux centres de soins communautaires Ebola. Certaines des voies ouvertes par les CSC à la participation de la communauté aux soins du virus Ebola, par exemple par l'implication de la famille dans la préparation des aliments et dans l'inclusion dans les processus d'enterrement, ont été retracées. Les données disponibles suggèrent que les CSC ont été bien accueillis par les communautés et ont permis d'améliorer les relations de confiance entre les communautés et les agents de riposte, malgré quelques problèmes de mise en place et d'exécution. </w:t>
      </w:r>
    </w:p>
    <w:p w14:paraId="79939B41" w14:textId="77777777" w:rsidR="00C67883" w:rsidRPr="00C67883" w:rsidRDefault="00C67883" w:rsidP="00C67883">
      <w:pPr>
        <w:jc w:val="both"/>
        <w:rPr>
          <w:sz w:val="24"/>
          <w:szCs w:val="24"/>
          <w:lang w:val="fr-CD"/>
        </w:rPr>
      </w:pPr>
      <w:r w:rsidRPr="00C67883">
        <w:rPr>
          <w:sz w:val="24"/>
          <w:szCs w:val="24"/>
          <w:lang w:val="fr-CD"/>
        </w:rPr>
        <w:t xml:space="preserve">L'emplacement des installations de traitement des cas s'est avéré être une question cruciale. Certains agents de riposte ont estimé que dans un petit pays doté de bonnes routes principales, l'accessibilité aux centres de traitement des cas n'était pas un problème majeur [6]. Cela revient à ignorer le mauvais état de nombreuses routes d'accès et à mal comprendre l'obligation faite aux membres de la famille d'être présents pour aider à soigner les malades. L'accessibilité ne se mesure pas en kilomètres par ambulance, mais en termes de défis logistiques liés à la famille qui accompagne le patient. Par exemple, les habitants de </w:t>
      </w:r>
      <w:proofErr w:type="spellStart"/>
      <w:r w:rsidRPr="00C67883">
        <w:rPr>
          <w:sz w:val="24"/>
          <w:szCs w:val="24"/>
          <w:lang w:val="fr-CD"/>
        </w:rPr>
        <w:t>Kambia</w:t>
      </w:r>
      <w:proofErr w:type="spellEnd"/>
      <w:r w:rsidRPr="00C67883">
        <w:rPr>
          <w:sz w:val="24"/>
          <w:szCs w:val="24"/>
          <w:lang w:val="fr-CD"/>
        </w:rPr>
        <w:t xml:space="preserve"> hésitaient à laisser leurs proches être emmenés au CTE de Port Loko, situé à seulement 30 km sur une très bonne route, parce qu'ils ne disposaient pas des connexions et des ressources nécessaires à la présence de la famille. Qui préparait la nourriture et était présent lorsque le patient avait besoin d'encouragement ?</w:t>
      </w:r>
    </w:p>
    <w:p w14:paraId="2EB81489" w14:textId="77777777" w:rsidR="00C67883" w:rsidRPr="00C67883" w:rsidRDefault="00C67883" w:rsidP="00C67883">
      <w:pPr>
        <w:jc w:val="both"/>
        <w:rPr>
          <w:sz w:val="24"/>
          <w:szCs w:val="24"/>
          <w:lang w:val="fr-CD"/>
        </w:rPr>
      </w:pPr>
      <w:r w:rsidRPr="00C67883">
        <w:rPr>
          <w:sz w:val="24"/>
          <w:szCs w:val="24"/>
          <w:lang w:val="fr-CD"/>
        </w:rPr>
        <w:t xml:space="preserve">Le CSC a contribué à résoudre ce problème en rapprochant le traitement des cas des familles. Des travaux antérieurs ont montré que les délais de consultation des CSC étaient plus courts que ceux des CTE [2]. Lorsque la seule option était l'orientation vers un CTE, les familles cachaient les patients ayant de fortes fièvres, mais une fois que l'option de CSC était disponible, les familles étaient plus disposées à présenter les cas pour un examen. La plupart des diagnostics concernaient le paludisme, qui a été traité et le patient a pu quitter l'hôpital, au grand soulagement de la famille. Si le diagnostic était celui d'une maladie neurodégénérative, le CSC permettait de calmer le choc pour le patient et sa famille. Alors qu'auparavant, la panique régnait et qu'une ambulance se rendait à grande vitesse à Bo ou Kenema en faisant retentir les sirènes, le processus était désormais plus calme et plus attentionné. On expliquait à la famille que la meilleure chance de survie était le transfert vers un CTE. Mais le CSC était équipé pour accueillir un patient avec MVE s'il était trop tard pour organiser un transport en toute sécurité. Les soignants du CSC étaient souvent eux-mêmes des membres de la communauté locale et leurs conseils étaient fiables. Les CSC étaient suffisamment </w:t>
      </w:r>
      <w:proofErr w:type="gramStart"/>
      <w:r w:rsidRPr="00C67883">
        <w:rPr>
          <w:sz w:val="24"/>
          <w:szCs w:val="24"/>
          <w:lang w:val="fr-CD"/>
        </w:rPr>
        <w:t>petits</w:t>
      </w:r>
      <w:proofErr w:type="gramEnd"/>
      <w:r w:rsidRPr="00C67883">
        <w:rPr>
          <w:sz w:val="24"/>
          <w:szCs w:val="24"/>
          <w:lang w:val="fr-CD"/>
        </w:rPr>
        <w:t xml:space="preserve"> et les structures étaient suffisamment ouvertes physiquement pour permettre aux membres de la famille de communiquer directement avec les patients depuis le périmètre de l'établissement. Des messages étaient envoyés aux patients pour qu'ils s'accrochent et ne se découragent pas ; les attentes de la communauté en matière de soutien familial étaient maintenues de manière audible. </w:t>
      </w:r>
    </w:p>
    <w:p w14:paraId="66F8926D" w14:textId="77777777" w:rsidR="00C67883" w:rsidRPr="00C67883" w:rsidRDefault="00C67883" w:rsidP="00C67883">
      <w:pPr>
        <w:jc w:val="both"/>
        <w:rPr>
          <w:sz w:val="24"/>
          <w:szCs w:val="24"/>
          <w:lang w:val="fr-CD"/>
        </w:rPr>
      </w:pPr>
      <w:r w:rsidRPr="00C67883">
        <w:rPr>
          <w:sz w:val="24"/>
          <w:szCs w:val="24"/>
          <w:lang w:val="fr-CD"/>
        </w:rPr>
        <w:lastRenderedPageBreak/>
        <w:t xml:space="preserve">Les soins directs aux malades et le partage de la nourriture familiale sont des moyens importants par lesquels les familles renforcent la solidarité sociale. Les participants aux groupes de discussion ont insisté sur le fait que cette expression de solidarité aide les patients à survivre à une maladie dévastatrice. La cuisine familiale encourage la volonté de vivre. Ils la considèrent comme un élément essentiel du traitement. Cette insistance fournit, à son tour, quelques leçons pour l'amélioration du CTE, modifié pour fonctionner davantage comme le CSE en termes sociaux. Par exemple, on pourrait louer des moyens de transport pour permettre aux membres de la famille de suivre les recommandations. Des camps auraient pu être construits pour leur hébergement à côté de chaque CTE. Équiper ces camps de cuisines approvisionnées en bois de chauffage, en eau et en autres fournitures pour faciliter la préparation de la nourriture familière ne serait pas plus complexe que de construire et d'équiper les cuisines qui font déjà partie de la conception standard des CTE. Les membres des familles pourraient alors continuer à participer à la surveillance et à l'alimentation du patient, même si la visite de la "zone rouge" restait interdite. </w:t>
      </w:r>
    </w:p>
    <w:p w14:paraId="69164473" w14:textId="77777777" w:rsidR="00C67883" w:rsidRPr="00C67883" w:rsidRDefault="00C67883" w:rsidP="00C67883">
      <w:pPr>
        <w:jc w:val="both"/>
        <w:rPr>
          <w:sz w:val="24"/>
          <w:szCs w:val="24"/>
          <w:lang w:val="fr-CD"/>
        </w:rPr>
      </w:pPr>
      <w:r w:rsidRPr="00C67883">
        <w:rPr>
          <w:sz w:val="24"/>
          <w:szCs w:val="24"/>
          <w:lang w:val="fr-CD"/>
        </w:rPr>
        <w:t xml:space="preserve">Les documents des groupes de discussion ont mis en évidence l'importance considérable de la question de l'enterrement sûr et digne. Certains patients sont morts en CSC, soit à cause de maladies non liées aux maladies vasculaires cérébrales, soit parce qu'il n'était pas possible de les transférer dans un CTE. Les CSC ont été construits à une époque où le problème d'un enterrement sûr et digne avait été reconnu par les autorités. Bien que les équipes chargées des "enterrements sûrs" aient effectué les internements proprement dits, le personnel a encouragé les familles à y assister, ce qui a été apprécié par les participants aux discussions. La participation était possible parce que les familles vivaient sur place. Cela a mis en contraste un problème majeur avec le CTE, à savoir que les membres des familles étaient souvent à des kilomètres de distance, avec de mauvaises communications et ne savaient pas quand leurs proches étaient morts ni où ils étaient enterrés. </w:t>
      </w:r>
    </w:p>
    <w:p w14:paraId="1611E845" w14:textId="1DAE23BE" w:rsidR="00D10A1A" w:rsidRDefault="00C67883" w:rsidP="00C67883">
      <w:pPr>
        <w:jc w:val="both"/>
        <w:rPr>
          <w:sz w:val="24"/>
          <w:szCs w:val="24"/>
          <w:lang w:val="fr-CD"/>
        </w:rPr>
      </w:pPr>
      <w:r w:rsidRPr="00C67883">
        <w:rPr>
          <w:sz w:val="24"/>
          <w:szCs w:val="24"/>
          <w:lang w:val="fr-CD"/>
        </w:rPr>
        <w:t xml:space="preserve">Les participants aux discussions étaient divisés sur le rôle de la famille dans l'enterrement des victimes du virus Ebola. Certains ont accepté l'idée que l'enterrement par des équipes formées était nécessaire, à la fois pour la biosécurité et dans le respect des règlements nationaux sur les "enterrements sûrs". D'autres ont soutenu avec force que les familles auraient pu et dû être équipées et formées pour pratiquer un enterrement sûr par elles-mêmes, car il a été dit (par exemple) que les équipes d'enterrement n'étaient jamais à l'heure, que les cadavres n'étaient pas lavés et habillés en </w:t>
      </w:r>
      <w:proofErr w:type="spellStart"/>
      <w:r w:rsidRPr="00C67883">
        <w:rPr>
          <w:i/>
          <w:iCs/>
          <w:sz w:val="24"/>
          <w:szCs w:val="24"/>
          <w:lang w:val="fr-CD"/>
        </w:rPr>
        <w:t>kasankei</w:t>
      </w:r>
      <w:proofErr w:type="spellEnd"/>
      <w:r w:rsidRPr="00C67883">
        <w:rPr>
          <w:sz w:val="24"/>
          <w:szCs w:val="24"/>
          <w:lang w:val="fr-CD"/>
        </w:rPr>
        <w:t xml:space="preserve"> (vêtements de sépulture), qu'il n'y avait pas d'adieux et de prières finales pour les morts, et que les membres des équipes d'enterrement étaient des étrangers pour les défunts.</w:t>
      </w:r>
    </w:p>
    <w:p w14:paraId="364706F8" w14:textId="42E1B674" w:rsidR="00B61261" w:rsidRPr="00B61261" w:rsidRDefault="00B61261" w:rsidP="00B61261">
      <w:pPr>
        <w:jc w:val="both"/>
        <w:rPr>
          <w:sz w:val="24"/>
          <w:szCs w:val="24"/>
          <w:lang w:val="fr-CD"/>
        </w:rPr>
      </w:pPr>
      <w:r w:rsidRPr="00B61261">
        <w:rPr>
          <w:sz w:val="24"/>
          <w:szCs w:val="24"/>
          <w:lang w:val="fr-CD"/>
        </w:rPr>
        <w:t xml:space="preserve">La question de l'acquisition de terrains pour la construction des CSC s'est avérée quelque peu controversée. La terre appartient aux familles, et non au gouvernement ou aux chefs. Les documents des groupes de discussion ont mis en évidence une différence entre ceux qui </w:t>
      </w:r>
      <w:r w:rsidRPr="00B61261">
        <w:rPr>
          <w:sz w:val="24"/>
          <w:szCs w:val="24"/>
          <w:lang w:val="fr-CD"/>
        </w:rPr>
        <w:lastRenderedPageBreak/>
        <w:t>pensaient que le gouvernement ou les chefs avaient le droit d'acquérir des terres pour construire les</w:t>
      </w:r>
      <w:r w:rsidR="004F6BC0">
        <w:rPr>
          <w:sz w:val="24"/>
          <w:szCs w:val="24"/>
          <w:lang w:val="fr-CD"/>
        </w:rPr>
        <w:t xml:space="preserve"> </w:t>
      </w:r>
      <w:r w:rsidRPr="00B61261">
        <w:rPr>
          <w:sz w:val="24"/>
          <w:szCs w:val="24"/>
          <w:lang w:val="fr-CD"/>
        </w:rPr>
        <w:t xml:space="preserve">CSC et un plus grand nombre de personnes qui insistaient sur le fait que les terres appartenaient à des familles propriétaires, qui auraient dû être consultées, malgré l'urgence de l'épidémie. Des exemples de "bonnes pratiques" - les CSC qui suivent la bonne voie, par exemple - ont également été signalés. Certaines familles ont offert des terres spécifiquement pour aider les communautés à lutter contre la MVE. Mais des mécontentements concernant les terres ont parfois fait surface, même si elles ont généralement été mises de côté en raison de l'urgence de l'épidémie. Étant donné la faible quantité de terres nécessaires à la fois pour le CSC et le CTE, il est peut-être surprenant que l'acquisition de locations temporaires se soit avérée si litigieuse. D'une manière plus générale, il convient de souligner qu'une approche inappropriée de l'acquisition de terres est considérée comme une menace pour la cohésion de la communauté. </w:t>
      </w:r>
    </w:p>
    <w:p w14:paraId="5DE327D1" w14:textId="77777777" w:rsidR="00B61261" w:rsidRPr="00B61261" w:rsidRDefault="00B61261" w:rsidP="00B61261">
      <w:pPr>
        <w:jc w:val="both"/>
        <w:rPr>
          <w:sz w:val="24"/>
          <w:szCs w:val="24"/>
          <w:lang w:val="fr-CD"/>
        </w:rPr>
      </w:pPr>
      <w:r w:rsidRPr="00B61261">
        <w:rPr>
          <w:sz w:val="24"/>
          <w:szCs w:val="24"/>
          <w:lang w:val="fr-CD"/>
        </w:rPr>
        <w:t xml:space="preserve">Il est peut-être utile d'ajouter qu'il y avait peu de différences évidentes entre les opinions exprimées dans les villages centraux des CSC et les villages de référence, à part quelques commentaires sur le choix du bon village - certains auraient préféré que le village de référence soit le village du CSC, d'autres étaient contents qu'il ne le soit pas. </w:t>
      </w:r>
    </w:p>
    <w:p w14:paraId="6E7B60F4" w14:textId="77777777" w:rsidR="00B61261" w:rsidRPr="00B61261" w:rsidRDefault="00B61261" w:rsidP="00B61261">
      <w:pPr>
        <w:jc w:val="both"/>
        <w:rPr>
          <w:sz w:val="24"/>
          <w:szCs w:val="24"/>
          <w:lang w:val="fr-CD"/>
        </w:rPr>
      </w:pPr>
      <w:r w:rsidRPr="00B61261">
        <w:rPr>
          <w:sz w:val="24"/>
          <w:szCs w:val="24"/>
          <w:lang w:val="fr-CD"/>
        </w:rPr>
        <w:t xml:space="preserve">L'intervention du CSC a contribué à attirer l'attention sur le rôle des intermédiaires de connaissances locaux dans le processus d'adaptation de la communauté aux risques du virus Ebola. Le passage à une politique "d'enterrement sûr et digne" en novembre 2014 a mis en évidence le rôle joué par les imams et les pasteurs pour faire accepter les changements dans les pratiques d'enterrement. Le CSC a ensuite bénéficié de la possibilité d'utiliser et d'influencer ces intermédiaires locaux. </w:t>
      </w:r>
    </w:p>
    <w:p w14:paraId="0E435D4A" w14:textId="77777777" w:rsidR="00B61261" w:rsidRPr="00B61261" w:rsidRDefault="00B61261" w:rsidP="00B61261">
      <w:pPr>
        <w:jc w:val="both"/>
        <w:rPr>
          <w:sz w:val="24"/>
          <w:szCs w:val="24"/>
          <w:lang w:val="fr-CD"/>
        </w:rPr>
      </w:pPr>
      <w:r w:rsidRPr="00B61261">
        <w:rPr>
          <w:sz w:val="24"/>
          <w:szCs w:val="24"/>
          <w:lang w:val="fr-CD"/>
        </w:rPr>
        <w:t xml:space="preserve">Les herboristes et les accoucheuses traditionnelles sont tout aussi influents dans les communautés rurales. On leur fait confiance dans les villages parce qu'ils sont résidents et accessibles en cas de besoin. Lors de l'épidémie MVE en Sierra Leone, ils ont été délibérément contournés. Cela était dû à la crainte qu'une manipulation imprudente des patients atteints du virus Ebola ne propage l'infection. Au début de l'épidémie, des histoires ont circulé à propos de "sorciers" prétendant guérir la maladie à virus Ebola mais au lieu de cela, ils la répandaient. Le gouvernement a alors interdit aux herboristes d'exercer pendant toute la durée de l'épidémie. Du point de vue des communautés, cela aurait pu être une erreur. Les herboristes ont propagé la maladie dans quelques cas précoces parce qu'ils ne savaient pas à ce stade à quoi ils avaient affaire. </w:t>
      </w:r>
    </w:p>
    <w:p w14:paraId="495EA20B" w14:textId="77777777" w:rsidR="00B61261" w:rsidRPr="00B61261" w:rsidRDefault="00B61261" w:rsidP="00B61261">
      <w:pPr>
        <w:jc w:val="both"/>
        <w:rPr>
          <w:sz w:val="24"/>
          <w:szCs w:val="24"/>
          <w:lang w:val="fr-CD"/>
        </w:rPr>
      </w:pPr>
      <w:r w:rsidRPr="00B61261">
        <w:rPr>
          <w:sz w:val="24"/>
          <w:szCs w:val="24"/>
          <w:lang w:val="fr-CD"/>
        </w:rPr>
        <w:t xml:space="preserve">Ils sont devenus des agents d'infection non pas par volonté, mais parce qu'ils étaient les aides de dernier recours. Les médecins formés professionnellement ont également propagé la maladie dans les premiers stades de l'épidémie, lorsqu'elle n'était pas encore identifiée, parce qu'ils n'avaient pas la formation et les ressources nécessaires pour y faire face. Comme les médecins et les infirmières, les accoucheuses traditionnelles et les herboristes ont rapidement appris les </w:t>
      </w:r>
      <w:r w:rsidRPr="00B61261">
        <w:rPr>
          <w:sz w:val="24"/>
          <w:szCs w:val="24"/>
          <w:lang w:val="fr-CD"/>
        </w:rPr>
        <w:lastRenderedPageBreak/>
        <w:t xml:space="preserve">dangers de la maladie et ont modifié leurs pratiques. En tant qu'autorités très respectées, elles auraient pu être utilisées pour diffuser une connaissance correcte de la maladie. C'est un sujet sur lequel des recherches supplémentaires sont maintenant nécessaires en Sierra Leone (pour le Ghana, voir [20]). </w:t>
      </w:r>
    </w:p>
    <w:p w14:paraId="3C9DE898" w14:textId="6F6E3EAD" w:rsidR="00C67883" w:rsidRDefault="00B61261" w:rsidP="00B61261">
      <w:pPr>
        <w:jc w:val="both"/>
        <w:rPr>
          <w:sz w:val="24"/>
          <w:szCs w:val="24"/>
          <w:lang w:val="fr-CD"/>
        </w:rPr>
      </w:pPr>
      <w:r w:rsidRPr="00B61261">
        <w:rPr>
          <w:sz w:val="24"/>
          <w:szCs w:val="24"/>
          <w:lang w:val="fr-CD"/>
        </w:rPr>
        <w:t>Les soins à domicile constituent un autre point saillant du débat. Il est prouvé que le CSC a contribué à ce que les gens signalent plus tôt les cas de MVE en Sierra Leone, et a donc contribué au ralentissement de l'épidémie [2]. Mais certaines communautés étaient encore trop éloignées pour que les patients puissent être déplacés rapidement. Dans un tel cas, un hamac pourrait être nécessaire. C'est un processus coûteux et long à mettre en place. Déplacer le patient dans la phase "humide" pourrait être très dangereux pour les porteurs. Des conseils et des fournitures permettant des soins à domicile plus sûrs sont potentiellement utiles pour ces cas extrêmes.</w:t>
      </w:r>
    </w:p>
    <w:p w14:paraId="02A9028A" w14:textId="77777777" w:rsidR="008B56FD" w:rsidRPr="008B56FD" w:rsidRDefault="008B56FD" w:rsidP="008B56FD">
      <w:pPr>
        <w:jc w:val="both"/>
        <w:rPr>
          <w:sz w:val="24"/>
          <w:szCs w:val="24"/>
          <w:lang w:val="fr-CD"/>
        </w:rPr>
      </w:pPr>
      <w:r w:rsidRPr="008B56FD">
        <w:rPr>
          <w:sz w:val="24"/>
          <w:szCs w:val="24"/>
          <w:lang w:val="fr-CD"/>
        </w:rPr>
        <w:t>Un protocole permettant de prendre en charge un patient atteint du virus Ebola à domicile en attendant de l'aide a été publié par les Centres américains de contrôle des maladies en novembre 2014 [1]. Certaines connaissances sur la mise en quarantaine des patients dans des cabanes de ferme ont été conservées par les communautés d'une époque où la variole était encore un fléau. Une règle de base selon laquelle un seul soignant et le reste du ménage fournissent une aide à distance semble avoir été appliquée. Une partie de ces anciennes connaissances a été transmise au cas du virus Ebola. Il n'est peut-être pas négligeable que le mot Mende pour Ebola-</w:t>
      </w:r>
      <w:proofErr w:type="spellStart"/>
      <w:r w:rsidRPr="008B56FD">
        <w:rPr>
          <w:sz w:val="24"/>
          <w:szCs w:val="24"/>
          <w:lang w:val="fr-CD"/>
        </w:rPr>
        <w:t>bondawote</w:t>
      </w:r>
      <w:proofErr w:type="spellEnd"/>
      <w:r w:rsidRPr="008B56FD">
        <w:rPr>
          <w:sz w:val="24"/>
          <w:szCs w:val="24"/>
          <w:lang w:val="fr-CD"/>
        </w:rPr>
        <w:t xml:space="preserve">- signifie "la famille se détourne". </w:t>
      </w:r>
    </w:p>
    <w:p w14:paraId="28D32A4C" w14:textId="77777777" w:rsidR="008B56FD" w:rsidRPr="008B56FD" w:rsidRDefault="008B56FD" w:rsidP="008B56FD">
      <w:pPr>
        <w:jc w:val="both"/>
        <w:rPr>
          <w:sz w:val="24"/>
          <w:szCs w:val="24"/>
          <w:lang w:val="fr-CD"/>
        </w:rPr>
      </w:pPr>
      <w:r w:rsidRPr="008B56FD">
        <w:rPr>
          <w:sz w:val="24"/>
          <w:szCs w:val="24"/>
          <w:lang w:val="fr-CD"/>
        </w:rPr>
        <w:t xml:space="preserve">En résumé, la politique consistant à offrir des soins aux victimes du virus Ebola dans de petites unités de traitement rapidement construites et placées là où le nombre de cas de MVE augmente, pour compléter les soins à grande échelle, a reçu un soutien largement positif de la part des communautés rurales de Sierra Leone. Cela s'appliquait à la fois aux sites de CSC et aux communautés voisines. L'évaluation, à laquelle on a eu accès par le biais de groupes de discussion, confirme que les CSC étaient compatibles avec les valeurs communautaires concernant l'accès aux soins et aux soins familiaux pour les malades. L'expression "enterrement sûr" était plus controversée. Cela remettait directement en cause une activité rituelle considérée comme vitale pour le maintien de bonnes relations au sein des familles rurales et entre elles. Les groupes de discussion ont également trouvé que l'acquisition de terres pour construire les CSC était un sujet controversé, mais cela peut être interprété comme reflétant un problème plus large de relations entre les communautés et le gouvernement central non résolu depuis l'époque coloniale. Il ne s'agissait pas d'un affrontement institutionnel spécifiquement lié à la MVE. </w:t>
      </w:r>
    </w:p>
    <w:p w14:paraId="73676423" w14:textId="41C996D4" w:rsidR="00B61261" w:rsidRDefault="008B56FD" w:rsidP="008B56FD">
      <w:pPr>
        <w:jc w:val="both"/>
        <w:rPr>
          <w:sz w:val="24"/>
          <w:szCs w:val="24"/>
          <w:lang w:val="fr-CD"/>
        </w:rPr>
      </w:pPr>
      <w:r w:rsidRPr="008B56FD">
        <w:rPr>
          <w:sz w:val="24"/>
          <w:szCs w:val="24"/>
          <w:lang w:val="fr-CD"/>
        </w:rPr>
        <w:t xml:space="preserve">Il n'est pas préconisé que le CSC remplace le CTE dans les futures épidémies de virus Ebola, comme celle qui menace actuellement certaines régions de la République démocratique du Congo. La principale conclusion de cette étude est que les preuves de l'acceptabilité sociale des CSC dans les communautés rurales de Sierra Leone renforcent les arguments en faveur d'une </w:t>
      </w:r>
      <w:r w:rsidRPr="008B56FD">
        <w:rPr>
          <w:sz w:val="24"/>
          <w:szCs w:val="24"/>
          <w:lang w:val="fr-CD"/>
        </w:rPr>
        <w:lastRenderedPageBreak/>
        <w:t>stratégie combinée, dans laquelle les CSC sont déployés comme centres de tri pour dépister et traiter le paludisme et d'autres maladies, tout en orientant les cas de MVE vers des soins spécialisés supplémentaires en CTE. Les CSC servent également de sites d'apprentissage efficaces grâce auxquels les communautés peuvent faire face aux défis biologiques de MVE sans que les normes locales de soutien communautaire en cas de maladie ne soient remises en cause. À cet égard, l'expérience de la prise en charge locale des cas en Sierra Leone offre des enseignements qui peuvent être utilement diffusés dans le domaine plus large de la lutte contre le virus Ebola.</w:t>
      </w:r>
    </w:p>
    <w:p w14:paraId="6DAC1F7A" w14:textId="7F406AB3" w:rsidR="008B56FD" w:rsidRDefault="008B56FD" w:rsidP="008B56FD">
      <w:pPr>
        <w:jc w:val="both"/>
        <w:rPr>
          <w:sz w:val="24"/>
          <w:szCs w:val="24"/>
          <w:lang w:val="fr-CD"/>
        </w:rPr>
      </w:pPr>
    </w:p>
    <w:p w14:paraId="7107BAEB" w14:textId="77777777" w:rsidR="008B56FD" w:rsidRPr="00F94D61" w:rsidRDefault="008B56FD" w:rsidP="008B56FD">
      <w:pPr>
        <w:pStyle w:val="Body"/>
        <w:jc w:val="both"/>
        <w:rPr>
          <w:sz w:val="24"/>
          <w:szCs w:val="24"/>
          <w:lang w:val="fr-FR"/>
        </w:rPr>
      </w:pPr>
      <w:r w:rsidRPr="00F94D61">
        <w:rPr>
          <w:sz w:val="24"/>
          <w:szCs w:val="24"/>
          <w:lang w:val="fr-FR"/>
        </w:rPr>
        <w:t>Cet article a été traduit par Elfi Kashori Martial dans le cadre d'une initiative qui vise à rendre les écrits sur l'épidémie du virus Ebola en Afrique de l'Ouest plus accessibles à ceux qui travaillent pour arrêter la dixième épidémie en RDC. Martial est un boursier de YALI-Mandela Washington Fellowship 2019 dans le Leadership Civique. Il a 5 ans d'expérience en tant que formateur en anglais et traducteur des documents. Il est passionné par le leadership et la consolidation de la paix et veut contribuer à rendre le monde meilleur.</w:t>
      </w:r>
    </w:p>
    <w:p w14:paraId="654A5E12" w14:textId="77777777" w:rsidR="008B56FD" w:rsidRPr="008B56FD" w:rsidRDefault="008B56FD" w:rsidP="008B56FD">
      <w:pPr>
        <w:jc w:val="both"/>
        <w:rPr>
          <w:sz w:val="24"/>
          <w:szCs w:val="24"/>
        </w:rPr>
      </w:pPr>
    </w:p>
    <w:p w14:paraId="2B5285B0" w14:textId="304CBE43" w:rsidR="008B56FD" w:rsidRDefault="008B56FD" w:rsidP="008B56FD">
      <w:pPr>
        <w:rPr>
          <w:b/>
          <w:bCs/>
          <w:sz w:val="32"/>
          <w:szCs w:val="32"/>
          <w:lang w:val="fr-CD"/>
        </w:rPr>
      </w:pPr>
      <w:r w:rsidRPr="008B56FD">
        <w:rPr>
          <w:b/>
          <w:bCs/>
          <w:sz w:val="32"/>
          <w:szCs w:val="32"/>
          <w:lang w:val="fr-CD"/>
        </w:rPr>
        <w:t>Informations complémentaires</w:t>
      </w:r>
    </w:p>
    <w:p w14:paraId="0B2BD5F4" w14:textId="44F32024" w:rsidR="008B56FD" w:rsidRDefault="008B56FD" w:rsidP="008B56FD">
      <w:pPr>
        <w:jc w:val="both"/>
        <w:rPr>
          <w:sz w:val="24"/>
          <w:szCs w:val="24"/>
          <w:lang w:val="fr-CD"/>
        </w:rPr>
      </w:pPr>
      <w:r w:rsidRPr="008B56FD">
        <w:rPr>
          <w:sz w:val="24"/>
          <w:szCs w:val="24"/>
          <w:lang w:val="fr-CD"/>
        </w:rPr>
        <w:t>Fichier S1. Déclarations triées. (XLSX)</w:t>
      </w:r>
    </w:p>
    <w:p w14:paraId="3E24D554" w14:textId="245F929A" w:rsidR="008B56FD" w:rsidRDefault="008B56FD" w:rsidP="008B56FD">
      <w:pPr>
        <w:rPr>
          <w:b/>
          <w:bCs/>
          <w:sz w:val="32"/>
          <w:szCs w:val="32"/>
          <w:lang w:val="fr-CD"/>
        </w:rPr>
      </w:pPr>
      <w:r w:rsidRPr="008B56FD">
        <w:rPr>
          <w:b/>
          <w:bCs/>
          <w:sz w:val="32"/>
          <w:szCs w:val="32"/>
          <w:lang w:val="fr-CD"/>
        </w:rPr>
        <w:t>Remerciements</w:t>
      </w:r>
    </w:p>
    <w:p w14:paraId="515EED7E" w14:textId="77777777" w:rsidR="003D59E1" w:rsidRPr="003D59E1" w:rsidRDefault="003D59E1" w:rsidP="003D59E1">
      <w:pPr>
        <w:jc w:val="both"/>
        <w:rPr>
          <w:sz w:val="24"/>
          <w:szCs w:val="24"/>
          <w:lang w:val="fr-CD"/>
        </w:rPr>
      </w:pPr>
      <w:r w:rsidRPr="003D59E1">
        <w:rPr>
          <w:sz w:val="24"/>
          <w:szCs w:val="24"/>
          <w:lang w:val="fr-CD"/>
        </w:rPr>
        <w:t xml:space="preserve">Les auteurs tiennent à remercier chaleureusement toutes les personnes des districts de Port Loko, </w:t>
      </w:r>
      <w:proofErr w:type="spellStart"/>
      <w:r w:rsidRPr="003D59E1">
        <w:rPr>
          <w:sz w:val="24"/>
          <w:szCs w:val="24"/>
          <w:lang w:val="fr-CD"/>
        </w:rPr>
        <w:t>Kambia</w:t>
      </w:r>
      <w:proofErr w:type="spellEnd"/>
      <w:r w:rsidRPr="003D59E1">
        <w:rPr>
          <w:sz w:val="24"/>
          <w:szCs w:val="24"/>
          <w:lang w:val="fr-CD"/>
        </w:rPr>
        <w:t xml:space="preserve">, </w:t>
      </w:r>
      <w:proofErr w:type="spellStart"/>
      <w:r w:rsidRPr="003D59E1">
        <w:rPr>
          <w:sz w:val="24"/>
          <w:szCs w:val="24"/>
          <w:lang w:val="fr-CD"/>
        </w:rPr>
        <w:t>Tonkolili</w:t>
      </w:r>
      <w:proofErr w:type="spellEnd"/>
      <w:r w:rsidRPr="003D59E1">
        <w:rPr>
          <w:sz w:val="24"/>
          <w:szCs w:val="24"/>
          <w:lang w:val="fr-CD"/>
        </w:rPr>
        <w:t xml:space="preserve"> et </w:t>
      </w:r>
      <w:proofErr w:type="spellStart"/>
      <w:r w:rsidRPr="003D59E1">
        <w:rPr>
          <w:sz w:val="24"/>
          <w:szCs w:val="24"/>
          <w:lang w:val="fr-CD"/>
        </w:rPr>
        <w:t>Kono</w:t>
      </w:r>
      <w:proofErr w:type="spellEnd"/>
      <w:r w:rsidRPr="003D59E1">
        <w:rPr>
          <w:sz w:val="24"/>
          <w:szCs w:val="24"/>
          <w:lang w:val="fr-CD"/>
        </w:rPr>
        <w:t xml:space="preserve"> qui ont contribué à ce rapport, notamment les chefs suprêmes, les chefs de village, les personnes âgées et les groupes communautaires et de plaidoyer pour avoir partagé leurs idées et leur temps.</w:t>
      </w:r>
    </w:p>
    <w:p w14:paraId="41C9E47F" w14:textId="77777777" w:rsidR="003D59E1" w:rsidRPr="003D59E1" w:rsidRDefault="003D59E1" w:rsidP="003D59E1">
      <w:pPr>
        <w:jc w:val="both"/>
        <w:rPr>
          <w:sz w:val="24"/>
          <w:szCs w:val="24"/>
          <w:lang w:val="fr-CD"/>
        </w:rPr>
      </w:pPr>
      <w:r w:rsidRPr="003D59E1">
        <w:rPr>
          <w:sz w:val="24"/>
          <w:szCs w:val="24"/>
          <w:lang w:val="fr-CD"/>
        </w:rPr>
        <w:t xml:space="preserve">Les assistants de recherche suffisamment courageux pour mener à bien le travail de terrain au plus fort de l'épidémie d'Ebola, dormant dans des salles d'audience ouvertes, et déterminés dans des circonstances difficiles à écouter et à apprendre des gens des communautés étaient </w:t>
      </w:r>
      <w:proofErr w:type="spellStart"/>
      <w:r w:rsidRPr="003D59E1">
        <w:rPr>
          <w:sz w:val="24"/>
          <w:szCs w:val="24"/>
          <w:lang w:val="fr-CD"/>
        </w:rPr>
        <w:t>Vandy</w:t>
      </w:r>
      <w:proofErr w:type="spellEnd"/>
      <w:r w:rsidRPr="003D59E1">
        <w:rPr>
          <w:sz w:val="24"/>
          <w:szCs w:val="24"/>
          <w:lang w:val="fr-CD"/>
        </w:rPr>
        <w:t xml:space="preserve"> </w:t>
      </w:r>
      <w:proofErr w:type="spellStart"/>
      <w:r w:rsidRPr="003D59E1">
        <w:rPr>
          <w:sz w:val="24"/>
          <w:szCs w:val="24"/>
          <w:lang w:val="fr-CD"/>
        </w:rPr>
        <w:t>Kanneh</w:t>
      </w:r>
      <w:proofErr w:type="spellEnd"/>
      <w:r w:rsidRPr="003D59E1">
        <w:rPr>
          <w:sz w:val="24"/>
          <w:szCs w:val="24"/>
          <w:lang w:val="fr-CD"/>
        </w:rPr>
        <w:t xml:space="preserve">, Idrissa </w:t>
      </w:r>
      <w:proofErr w:type="spellStart"/>
      <w:r w:rsidRPr="003D59E1">
        <w:rPr>
          <w:sz w:val="24"/>
          <w:szCs w:val="24"/>
          <w:lang w:val="fr-CD"/>
        </w:rPr>
        <w:t>Sesay</w:t>
      </w:r>
      <w:proofErr w:type="spellEnd"/>
      <w:r w:rsidRPr="003D59E1">
        <w:rPr>
          <w:sz w:val="24"/>
          <w:szCs w:val="24"/>
          <w:lang w:val="fr-CD"/>
        </w:rPr>
        <w:t xml:space="preserve">, Philip Musa </w:t>
      </w:r>
      <w:proofErr w:type="spellStart"/>
      <w:r w:rsidRPr="003D59E1">
        <w:rPr>
          <w:sz w:val="24"/>
          <w:szCs w:val="24"/>
          <w:lang w:val="fr-CD"/>
        </w:rPr>
        <w:t>Lahai</w:t>
      </w:r>
      <w:proofErr w:type="spellEnd"/>
      <w:r w:rsidRPr="003D59E1">
        <w:rPr>
          <w:sz w:val="24"/>
          <w:szCs w:val="24"/>
          <w:lang w:val="fr-CD"/>
        </w:rPr>
        <w:t xml:space="preserve">, </w:t>
      </w:r>
      <w:proofErr w:type="spellStart"/>
      <w:r w:rsidRPr="003D59E1">
        <w:rPr>
          <w:sz w:val="24"/>
          <w:szCs w:val="24"/>
          <w:lang w:val="fr-CD"/>
        </w:rPr>
        <w:t>Ramatu</w:t>
      </w:r>
      <w:proofErr w:type="spellEnd"/>
      <w:r w:rsidRPr="003D59E1">
        <w:rPr>
          <w:sz w:val="24"/>
          <w:szCs w:val="24"/>
          <w:lang w:val="fr-CD"/>
        </w:rPr>
        <w:t xml:space="preserve"> </w:t>
      </w:r>
      <w:proofErr w:type="spellStart"/>
      <w:r w:rsidRPr="003D59E1">
        <w:rPr>
          <w:sz w:val="24"/>
          <w:szCs w:val="24"/>
          <w:lang w:val="fr-CD"/>
        </w:rPr>
        <w:t>Samawoh</w:t>
      </w:r>
      <w:proofErr w:type="spellEnd"/>
      <w:r w:rsidRPr="003D59E1">
        <w:rPr>
          <w:sz w:val="24"/>
          <w:szCs w:val="24"/>
          <w:lang w:val="fr-CD"/>
        </w:rPr>
        <w:t xml:space="preserve">, Francis </w:t>
      </w:r>
      <w:proofErr w:type="spellStart"/>
      <w:r w:rsidRPr="003D59E1">
        <w:rPr>
          <w:sz w:val="24"/>
          <w:szCs w:val="24"/>
          <w:lang w:val="fr-CD"/>
        </w:rPr>
        <w:t>Baigeh</w:t>
      </w:r>
      <w:proofErr w:type="spellEnd"/>
      <w:r w:rsidRPr="003D59E1">
        <w:rPr>
          <w:sz w:val="24"/>
          <w:szCs w:val="24"/>
          <w:lang w:val="fr-CD"/>
        </w:rPr>
        <w:t xml:space="preserve"> Johnson, </w:t>
      </w:r>
      <w:proofErr w:type="spellStart"/>
      <w:r w:rsidRPr="003D59E1">
        <w:rPr>
          <w:sz w:val="24"/>
          <w:szCs w:val="24"/>
          <w:lang w:val="fr-CD"/>
        </w:rPr>
        <w:t>Famata</w:t>
      </w:r>
      <w:proofErr w:type="spellEnd"/>
      <w:r w:rsidRPr="003D59E1">
        <w:rPr>
          <w:sz w:val="24"/>
          <w:szCs w:val="24"/>
          <w:lang w:val="fr-CD"/>
        </w:rPr>
        <w:t xml:space="preserve"> Binta </w:t>
      </w:r>
      <w:proofErr w:type="spellStart"/>
      <w:r w:rsidRPr="003D59E1">
        <w:rPr>
          <w:sz w:val="24"/>
          <w:szCs w:val="24"/>
          <w:lang w:val="fr-CD"/>
        </w:rPr>
        <w:t>Jalloh</w:t>
      </w:r>
      <w:proofErr w:type="spellEnd"/>
      <w:r w:rsidRPr="003D59E1">
        <w:rPr>
          <w:sz w:val="24"/>
          <w:szCs w:val="24"/>
          <w:lang w:val="fr-CD"/>
        </w:rPr>
        <w:t xml:space="preserve">, Daniel </w:t>
      </w:r>
      <w:proofErr w:type="spellStart"/>
      <w:r w:rsidRPr="003D59E1">
        <w:rPr>
          <w:sz w:val="24"/>
          <w:szCs w:val="24"/>
          <w:lang w:val="fr-CD"/>
        </w:rPr>
        <w:t>Mokuwa</w:t>
      </w:r>
      <w:proofErr w:type="spellEnd"/>
      <w:r w:rsidRPr="003D59E1">
        <w:rPr>
          <w:sz w:val="24"/>
          <w:szCs w:val="24"/>
          <w:lang w:val="fr-CD"/>
        </w:rPr>
        <w:t xml:space="preserve"> et Sao </w:t>
      </w:r>
      <w:proofErr w:type="spellStart"/>
      <w:r w:rsidRPr="003D59E1">
        <w:rPr>
          <w:sz w:val="24"/>
          <w:szCs w:val="24"/>
          <w:lang w:val="fr-CD"/>
        </w:rPr>
        <w:t>Bockarie</w:t>
      </w:r>
      <w:proofErr w:type="spellEnd"/>
      <w:r w:rsidRPr="003D59E1">
        <w:rPr>
          <w:sz w:val="24"/>
          <w:szCs w:val="24"/>
          <w:lang w:val="fr-CD"/>
        </w:rPr>
        <w:t xml:space="preserve">. Nous leur adressons à tous nos remerciements. Nous sommes très redevables à Paul Richards pour son soutien durable et sa contribution au document et à la recherche sous-jacente. Nous remercions également les réviseurs pour leurs commentaires critiques et leurs suggestions utiles pour améliorer le document. </w:t>
      </w:r>
    </w:p>
    <w:p w14:paraId="794FC149" w14:textId="77777777" w:rsidR="003D59E1" w:rsidRPr="003D59E1" w:rsidRDefault="003D59E1" w:rsidP="003D59E1">
      <w:pPr>
        <w:jc w:val="both"/>
        <w:rPr>
          <w:sz w:val="24"/>
          <w:szCs w:val="24"/>
          <w:lang w:val="fr-CD"/>
        </w:rPr>
      </w:pPr>
      <w:r w:rsidRPr="003D59E1">
        <w:rPr>
          <w:sz w:val="24"/>
          <w:szCs w:val="24"/>
          <w:lang w:val="fr-CD"/>
        </w:rPr>
        <w:t>Nous tenons à remercier les membres de la plate-forme d'anthropologie de la riposte contre le virus Ebola (ERAP) pour leurs conseils et leur soutien dans la conception de la collecte de données.</w:t>
      </w:r>
    </w:p>
    <w:p w14:paraId="03B715F8" w14:textId="77777777" w:rsidR="003D59E1" w:rsidRPr="003D59E1" w:rsidRDefault="003D59E1" w:rsidP="003D59E1">
      <w:pPr>
        <w:jc w:val="both"/>
        <w:rPr>
          <w:sz w:val="24"/>
          <w:szCs w:val="24"/>
          <w:lang w:val="fr-CD"/>
        </w:rPr>
      </w:pPr>
      <w:r w:rsidRPr="003D59E1">
        <w:rPr>
          <w:sz w:val="24"/>
          <w:szCs w:val="24"/>
          <w:lang w:val="fr-CD"/>
        </w:rPr>
        <w:lastRenderedPageBreak/>
        <w:t>Le présent document s'appuie sur des données recueillies à l'origine par la première auteure et son équipe dans le cadre d'une étude d'impact des CSC en février 2015 organisée par l'Institut d'études du développement de l'Université du Sussex (IED). Nous remercions l'IED de nous avoir autorisés à utiliser les données pour les besoins de ce document. Nous remercions l'IED, le groupe d'économie du développement de l'Université de Wageningen et le Conseil néerlandais pour la recherche scientifique (NWO) pour leur soutien institutionnel.</w:t>
      </w:r>
    </w:p>
    <w:p w14:paraId="51397A2B" w14:textId="77777777" w:rsidR="003D59E1" w:rsidRPr="003D59E1" w:rsidRDefault="003D59E1" w:rsidP="003D59E1">
      <w:pPr>
        <w:jc w:val="both"/>
        <w:rPr>
          <w:b/>
          <w:bCs/>
          <w:sz w:val="32"/>
          <w:szCs w:val="32"/>
          <w:lang w:val="fr-CD"/>
        </w:rPr>
      </w:pPr>
      <w:r w:rsidRPr="003D59E1">
        <w:rPr>
          <w:b/>
          <w:bCs/>
          <w:sz w:val="32"/>
          <w:szCs w:val="32"/>
          <w:lang w:val="fr-CD"/>
        </w:rPr>
        <w:t xml:space="preserve">Contributions des auteurs </w:t>
      </w:r>
    </w:p>
    <w:p w14:paraId="2510AE3F" w14:textId="77777777" w:rsidR="003D59E1" w:rsidRPr="003D59E1" w:rsidRDefault="003D59E1" w:rsidP="003D59E1">
      <w:pPr>
        <w:spacing w:after="0"/>
        <w:jc w:val="both"/>
        <w:rPr>
          <w:sz w:val="24"/>
          <w:szCs w:val="24"/>
          <w:lang w:val="fr-CD"/>
        </w:rPr>
      </w:pPr>
      <w:bookmarkStart w:id="0" w:name="_Hlk31192664"/>
      <w:r w:rsidRPr="003D59E1">
        <w:rPr>
          <w:b/>
          <w:bCs/>
          <w:sz w:val="24"/>
          <w:szCs w:val="24"/>
          <w:lang w:val="fr-CD"/>
        </w:rPr>
        <w:t>Conservation des données</w:t>
      </w:r>
      <w:bookmarkEnd w:id="0"/>
      <w:r w:rsidRPr="003D59E1">
        <w:rPr>
          <w:sz w:val="24"/>
          <w:szCs w:val="24"/>
          <w:lang w:val="fr-CD"/>
        </w:rPr>
        <w:t xml:space="preserve"> : Esther </w:t>
      </w:r>
      <w:proofErr w:type="spellStart"/>
      <w:r w:rsidRPr="003D59E1">
        <w:rPr>
          <w:sz w:val="24"/>
          <w:szCs w:val="24"/>
          <w:lang w:val="fr-CD"/>
        </w:rPr>
        <w:t>Yei</w:t>
      </w:r>
      <w:proofErr w:type="spellEnd"/>
      <w:r w:rsidRPr="003D59E1">
        <w:rPr>
          <w:sz w:val="24"/>
          <w:szCs w:val="24"/>
          <w:lang w:val="fr-CD"/>
        </w:rPr>
        <w:t xml:space="preserve"> </w:t>
      </w:r>
      <w:proofErr w:type="spellStart"/>
      <w:r w:rsidRPr="003D59E1">
        <w:rPr>
          <w:sz w:val="24"/>
          <w:szCs w:val="24"/>
          <w:lang w:val="fr-CD"/>
        </w:rPr>
        <w:t>Mokuwa</w:t>
      </w:r>
      <w:proofErr w:type="spellEnd"/>
      <w:r w:rsidRPr="003D59E1">
        <w:rPr>
          <w:sz w:val="24"/>
          <w:szCs w:val="24"/>
          <w:lang w:val="fr-CD"/>
        </w:rPr>
        <w:t>.</w:t>
      </w:r>
    </w:p>
    <w:p w14:paraId="0BF96C93" w14:textId="77777777" w:rsidR="003D59E1" w:rsidRPr="003D59E1" w:rsidRDefault="003D59E1" w:rsidP="003D59E1">
      <w:pPr>
        <w:spacing w:after="0"/>
        <w:jc w:val="both"/>
        <w:rPr>
          <w:sz w:val="24"/>
          <w:szCs w:val="24"/>
          <w:lang w:val="fr-CD"/>
        </w:rPr>
      </w:pPr>
      <w:r w:rsidRPr="003D59E1">
        <w:rPr>
          <w:b/>
          <w:bCs/>
          <w:sz w:val="24"/>
          <w:szCs w:val="24"/>
          <w:lang w:val="fr-CD"/>
        </w:rPr>
        <w:t>Analyse formelle</w:t>
      </w:r>
      <w:r w:rsidRPr="003D59E1">
        <w:rPr>
          <w:sz w:val="24"/>
          <w:szCs w:val="24"/>
          <w:lang w:val="fr-CD"/>
        </w:rPr>
        <w:t xml:space="preserve"> : Esther </w:t>
      </w:r>
      <w:proofErr w:type="spellStart"/>
      <w:r w:rsidRPr="003D59E1">
        <w:rPr>
          <w:sz w:val="24"/>
          <w:szCs w:val="24"/>
          <w:lang w:val="fr-CD"/>
        </w:rPr>
        <w:t>Yei</w:t>
      </w:r>
      <w:proofErr w:type="spellEnd"/>
      <w:r w:rsidRPr="003D59E1">
        <w:rPr>
          <w:sz w:val="24"/>
          <w:szCs w:val="24"/>
          <w:lang w:val="fr-CD"/>
        </w:rPr>
        <w:t xml:space="preserve"> </w:t>
      </w:r>
      <w:proofErr w:type="spellStart"/>
      <w:r w:rsidRPr="003D59E1">
        <w:rPr>
          <w:sz w:val="24"/>
          <w:szCs w:val="24"/>
          <w:lang w:val="fr-CD"/>
        </w:rPr>
        <w:t>Mokuwa</w:t>
      </w:r>
      <w:proofErr w:type="spellEnd"/>
      <w:r w:rsidRPr="003D59E1">
        <w:rPr>
          <w:sz w:val="24"/>
          <w:szCs w:val="24"/>
          <w:lang w:val="fr-CD"/>
        </w:rPr>
        <w:t xml:space="preserve">, </w:t>
      </w:r>
      <w:proofErr w:type="spellStart"/>
      <w:r w:rsidRPr="003D59E1">
        <w:rPr>
          <w:sz w:val="24"/>
          <w:szCs w:val="24"/>
          <w:lang w:val="fr-CD"/>
        </w:rPr>
        <w:t>Harro</w:t>
      </w:r>
      <w:proofErr w:type="spellEnd"/>
      <w:r w:rsidRPr="003D59E1">
        <w:rPr>
          <w:sz w:val="24"/>
          <w:szCs w:val="24"/>
          <w:lang w:val="fr-CD"/>
        </w:rPr>
        <w:t xml:space="preserve"> </w:t>
      </w:r>
      <w:proofErr w:type="spellStart"/>
      <w:r w:rsidRPr="003D59E1">
        <w:rPr>
          <w:sz w:val="24"/>
          <w:szCs w:val="24"/>
          <w:lang w:val="fr-CD"/>
        </w:rPr>
        <w:t>Maat</w:t>
      </w:r>
      <w:proofErr w:type="spellEnd"/>
      <w:r w:rsidRPr="003D59E1">
        <w:rPr>
          <w:sz w:val="24"/>
          <w:szCs w:val="24"/>
          <w:lang w:val="fr-CD"/>
        </w:rPr>
        <w:t>.</w:t>
      </w:r>
    </w:p>
    <w:p w14:paraId="7AC6F407" w14:textId="77777777" w:rsidR="003D59E1" w:rsidRPr="003D59E1" w:rsidRDefault="003D59E1" w:rsidP="003D59E1">
      <w:pPr>
        <w:spacing w:after="0"/>
        <w:jc w:val="both"/>
        <w:rPr>
          <w:sz w:val="24"/>
          <w:szCs w:val="24"/>
          <w:lang w:val="fr-CD"/>
        </w:rPr>
      </w:pPr>
      <w:r w:rsidRPr="003D59E1">
        <w:rPr>
          <w:b/>
          <w:bCs/>
          <w:sz w:val="24"/>
          <w:szCs w:val="24"/>
          <w:lang w:val="fr-CD"/>
        </w:rPr>
        <w:t>Enquête</w:t>
      </w:r>
      <w:r w:rsidRPr="003D59E1">
        <w:rPr>
          <w:sz w:val="24"/>
          <w:szCs w:val="24"/>
          <w:lang w:val="fr-CD"/>
        </w:rPr>
        <w:t xml:space="preserve"> : Esther </w:t>
      </w:r>
      <w:proofErr w:type="spellStart"/>
      <w:r w:rsidRPr="003D59E1">
        <w:rPr>
          <w:sz w:val="24"/>
          <w:szCs w:val="24"/>
          <w:lang w:val="fr-CD"/>
        </w:rPr>
        <w:t>Yei</w:t>
      </w:r>
      <w:proofErr w:type="spellEnd"/>
      <w:r w:rsidRPr="003D59E1">
        <w:rPr>
          <w:sz w:val="24"/>
          <w:szCs w:val="24"/>
          <w:lang w:val="fr-CD"/>
        </w:rPr>
        <w:t xml:space="preserve"> </w:t>
      </w:r>
      <w:proofErr w:type="spellStart"/>
      <w:r w:rsidRPr="003D59E1">
        <w:rPr>
          <w:sz w:val="24"/>
          <w:szCs w:val="24"/>
          <w:lang w:val="fr-CD"/>
        </w:rPr>
        <w:t>Mokuwa</w:t>
      </w:r>
      <w:proofErr w:type="spellEnd"/>
      <w:r w:rsidRPr="003D59E1">
        <w:rPr>
          <w:sz w:val="24"/>
          <w:szCs w:val="24"/>
          <w:lang w:val="fr-CD"/>
        </w:rPr>
        <w:t>.</w:t>
      </w:r>
    </w:p>
    <w:p w14:paraId="3D8CAC53" w14:textId="77777777" w:rsidR="003D59E1" w:rsidRPr="003D59E1" w:rsidRDefault="003D59E1" w:rsidP="003D59E1">
      <w:pPr>
        <w:spacing w:after="0"/>
        <w:jc w:val="both"/>
        <w:rPr>
          <w:sz w:val="24"/>
          <w:szCs w:val="24"/>
          <w:lang w:val="fr-CD"/>
        </w:rPr>
      </w:pPr>
      <w:r w:rsidRPr="003D59E1">
        <w:rPr>
          <w:b/>
          <w:bCs/>
          <w:sz w:val="24"/>
          <w:szCs w:val="24"/>
          <w:lang w:val="fr-CD"/>
        </w:rPr>
        <w:t>Méthodologie</w:t>
      </w:r>
      <w:r w:rsidRPr="003D59E1">
        <w:rPr>
          <w:sz w:val="24"/>
          <w:szCs w:val="24"/>
          <w:lang w:val="fr-CD"/>
        </w:rPr>
        <w:t xml:space="preserve"> : Esther </w:t>
      </w:r>
      <w:proofErr w:type="spellStart"/>
      <w:r w:rsidRPr="003D59E1">
        <w:rPr>
          <w:sz w:val="24"/>
          <w:szCs w:val="24"/>
          <w:lang w:val="fr-CD"/>
        </w:rPr>
        <w:t>Yei</w:t>
      </w:r>
      <w:proofErr w:type="spellEnd"/>
      <w:r w:rsidRPr="003D59E1">
        <w:rPr>
          <w:sz w:val="24"/>
          <w:szCs w:val="24"/>
          <w:lang w:val="fr-CD"/>
        </w:rPr>
        <w:t xml:space="preserve"> </w:t>
      </w:r>
      <w:proofErr w:type="spellStart"/>
      <w:r w:rsidRPr="003D59E1">
        <w:rPr>
          <w:sz w:val="24"/>
          <w:szCs w:val="24"/>
          <w:lang w:val="fr-CD"/>
        </w:rPr>
        <w:t>Mokuwa</w:t>
      </w:r>
      <w:proofErr w:type="spellEnd"/>
      <w:r w:rsidRPr="003D59E1">
        <w:rPr>
          <w:sz w:val="24"/>
          <w:szCs w:val="24"/>
          <w:lang w:val="fr-CD"/>
        </w:rPr>
        <w:t xml:space="preserve">, </w:t>
      </w:r>
      <w:proofErr w:type="spellStart"/>
      <w:r w:rsidRPr="003D59E1">
        <w:rPr>
          <w:sz w:val="24"/>
          <w:szCs w:val="24"/>
          <w:lang w:val="fr-CD"/>
        </w:rPr>
        <w:t>Harro</w:t>
      </w:r>
      <w:proofErr w:type="spellEnd"/>
      <w:r w:rsidRPr="003D59E1">
        <w:rPr>
          <w:sz w:val="24"/>
          <w:szCs w:val="24"/>
          <w:lang w:val="fr-CD"/>
        </w:rPr>
        <w:t xml:space="preserve"> </w:t>
      </w:r>
      <w:proofErr w:type="spellStart"/>
      <w:r w:rsidRPr="003D59E1">
        <w:rPr>
          <w:sz w:val="24"/>
          <w:szCs w:val="24"/>
          <w:lang w:val="fr-CD"/>
        </w:rPr>
        <w:t>Maat</w:t>
      </w:r>
      <w:proofErr w:type="spellEnd"/>
      <w:r w:rsidRPr="003D59E1">
        <w:rPr>
          <w:sz w:val="24"/>
          <w:szCs w:val="24"/>
          <w:lang w:val="fr-CD"/>
        </w:rPr>
        <w:t>.</w:t>
      </w:r>
    </w:p>
    <w:p w14:paraId="58BBC8B0" w14:textId="22A01E3D" w:rsidR="003D59E1" w:rsidRPr="003D59E1" w:rsidRDefault="003D59E1" w:rsidP="003D59E1">
      <w:pPr>
        <w:spacing w:after="0"/>
        <w:jc w:val="both"/>
        <w:rPr>
          <w:sz w:val="24"/>
          <w:szCs w:val="24"/>
          <w:lang w:val="en-US"/>
        </w:rPr>
      </w:pPr>
      <w:r w:rsidRPr="003D59E1">
        <w:rPr>
          <w:b/>
          <w:bCs/>
          <w:sz w:val="24"/>
          <w:szCs w:val="24"/>
          <w:lang w:val="en-US"/>
        </w:rPr>
        <w:t>Supervision</w:t>
      </w:r>
      <w:r w:rsidRPr="003D59E1">
        <w:rPr>
          <w:sz w:val="24"/>
          <w:szCs w:val="24"/>
          <w:lang w:val="en-US"/>
        </w:rPr>
        <w:t xml:space="preserve">: </w:t>
      </w:r>
      <w:proofErr w:type="spellStart"/>
      <w:r w:rsidRPr="003D59E1">
        <w:rPr>
          <w:sz w:val="24"/>
          <w:szCs w:val="24"/>
          <w:lang w:val="en-US"/>
        </w:rPr>
        <w:t>Harro</w:t>
      </w:r>
      <w:proofErr w:type="spellEnd"/>
      <w:r w:rsidRPr="003D59E1">
        <w:rPr>
          <w:sz w:val="24"/>
          <w:szCs w:val="24"/>
          <w:lang w:val="en-US"/>
        </w:rPr>
        <w:t xml:space="preserve"> Maat.</w:t>
      </w:r>
    </w:p>
    <w:p w14:paraId="370EEE4A" w14:textId="73B4DA7B" w:rsidR="003D59E1" w:rsidRPr="003D59E1" w:rsidRDefault="003D59E1" w:rsidP="003D59E1">
      <w:pPr>
        <w:spacing w:after="0"/>
        <w:jc w:val="both"/>
        <w:rPr>
          <w:sz w:val="24"/>
          <w:szCs w:val="24"/>
          <w:lang w:val="en-US"/>
        </w:rPr>
      </w:pPr>
      <w:r w:rsidRPr="003D59E1">
        <w:rPr>
          <w:b/>
          <w:bCs/>
          <w:sz w:val="24"/>
          <w:szCs w:val="24"/>
          <w:lang w:val="en-US"/>
        </w:rPr>
        <w:t>Validation</w:t>
      </w:r>
      <w:r w:rsidRPr="003D59E1">
        <w:rPr>
          <w:sz w:val="24"/>
          <w:szCs w:val="24"/>
          <w:lang w:val="en-US"/>
        </w:rPr>
        <w:t xml:space="preserve">: Esther Yei </w:t>
      </w:r>
      <w:proofErr w:type="spellStart"/>
      <w:r w:rsidRPr="003D59E1">
        <w:rPr>
          <w:sz w:val="24"/>
          <w:szCs w:val="24"/>
          <w:lang w:val="en-US"/>
        </w:rPr>
        <w:t>Mokuwa</w:t>
      </w:r>
      <w:proofErr w:type="spellEnd"/>
      <w:r w:rsidRPr="003D59E1">
        <w:rPr>
          <w:sz w:val="24"/>
          <w:szCs w:val="24"/>
          <w:lang w:val="en-US"/>
        </w:rPr>
        <w:t>.</w:t>
      </w:r>
    </w:p>
    <w:p w14:paraId="52D86B5E" w14:textId="77777777" w:rsidR="003D59E1" w:rsidRPr="003D59E1" w:rsidRDefault="003D59E1" w:rsidP="003D59E1">
      <w:pPr>
        <w:spacing w:after="0"/>
        <w:jc w:val="both"/>
        <w:rPr>
          <w:sz w:val="24"/>
          <w:szCs w:val="24"/>
          <w:lang w:val="fr-CD"/>
        </w:rPr>
      </w:pPr>
      <w:r w:rsidRPr="003D59E1">
        <w:rPr>
          <w:b/>
          <w:bCs/>
          <w:sz w:val="24"/>
          <w:szCs w:val="24"/>
          <w:lang w:val="fr-CD"/>
        </w:rPr>
        <w:t>Rédaction</w:t>
      </w:r>
      <w:r w:rsidRPr="003D59E1">
        <w:rPr>
          <w:sz w:val="24"/>
          <w:szCs w:val="24"/>
          <w:lang w:val="fr-CD"/>
        </w:rPr>
        <w:t xml:space="preserve"> - ébauche originale : Esther </w:t>
      </w:r>
      <w:proofErr w:type="spellStart"/>
      <w:r w:rsidRPr="003D59E1">
        <w:rPr>
          <w:sz w:val="24"/>
          <w:szCs w:val="24"/>
          <w:lang w:val="fr-CD"/>
        </w:rPr>
        <w:t>Yei</w:t>
      </w:r>
      <w:proofErr w:type="spellEnd"/>
      <w:r w:rsidRPr="003D59E1">
        <w:rPr>
          <w:sz w:val="24"/>
          <w:szCs w:val="24"/>
          <w:lang w:val="fr-CD"/>
        </w:rPr>
        <w:t xml:space="preserve"> </w:t>
      </w:r>
      <w:proofErr w:type="spellStart"/>
      <w:r w:rsidRPr="003D59E1">
        <w:rPr>
          <w:sz w:val="24"/>
          <w:szCs w:val="24"/>
          <w:lang w:val="fr-CD"/>
        </w:rPr>
        <w:t>Mokuwa</w:t>
      </w:r>
      <w:proofErr w:type="spellEnd"/>
      <w:r w:rsidRPr="003D59E1">
        <w:rPr>
          <w:sz w:val="24"/>
          <w:szCs w:val="24"/>
          <w:lang w:val="fr-CD"/>
        </w:rPr>
        <w:t>.</w:t>
      </w:r>
    </w:p>
    <w:p w14:paraId="0187D10D" w14:textId="0B25C265" w:rsidR="008B56FD" w:rsidRDefault="003D59E1" w:rsidP="003D59E1">
      <w:pPr>
        <w:spacing w:after="0"/>
        <w:jc w:val="both"/>
        <w:rPr>
          <w:sz w:val="24"/>
          <w:szCs w:val="24"/>
          <w:lang w:val="fr-CD"/>
        </w:rPr>
      </w:pPr>
      <w:r w:rsidRPr="003D59E1">
        <w:rPr>
          <w:b/>
          <w:bCs/>
          <w:sz w:val="24"/>
          <w:szCs w:val="24"/>
          <w:lang w:val="fr-CD"/>
        </w:rPr>
        <w:t>Rédaction</w:t>
      </w:r>
      <w:r w:rsidRPr="003D59E1">
        <w:rPr>
          <w:sz w:val="24"/>
          <w:szCs w:val="24"/>
          <w:lang w:val="fr-CD"/>
        </w:rPr>
        <w:t xml:space="preserve"> - révision et édition : </w:t>
      </w:r>
      <w:proofErr w:type="spellStart"/>
      <w:r w:rsidRPr="003D59E1">
        <w:rPr>
          <w:sz w:val="24"/>
          <w:szCs w:val="24"/>
          <w:lang w:val="fr-CD"/>
        </w:rPr>
        <w:t>Harro</w:t>
      </w:r>
      <w:proofErr w:type="spellEnd"/>
      <w:r w:rsidRPr="003D59E1">
        <w:rPr>
          <w:sz w:val="24"/>
          <w:szCs w:val="24"/>
          <w:lang w:val="fr-CD"/>
        </w:rPr>
        <w:t xml:space="preserve"> </w:t>
      </w:r>
      <w:proofErr w:type="spellStart"/>
      <w:r w:rsidRPr="003D59E1">
        <w:rPr>
          <w:sz w:val="24"/>
          <w:szCs w:val="24"/>
          <w:lang w:val="fr-CD"/>
        </w:rPr>
        <w:t>Maat</w:t>
      </w:r>
      <w:proofErr w:type="spellEnd"/>
      <w:r w:rsidRPr="003D59E1">
        <w:rPr>
          <w:sz w:val="24"/>
          <w:szCs w:val="24"/>
          <w:lang w:val="fr-CD"/>
        </w:rPr>
        <w:t>.</w:t>
      </w:r>
    </w:p>
    <w:p w14:paraId="429F4D9F" w14:textId="747197B0" w:rsidR="003D59E1" w:rsidRDefault="003D59E1" w:rsidP="003D59E1">
      <w:pPr>
        <w:spacing w:after="0"/>
        <w:jc w:val="both"/>
        <w:rPr>
          <w:sz w:val="24"/>
          <w:szCs w:val="24"/>
          <w:lang w:val="fr-CD"/>
        </w:rPr>
      </w:pPr>
    </w:p>
    <w:p w14:paraId="44D52D5A" w14:textId="0E008862" w:rsidR="003D59E1" w:rsidRDefault="003D59E1" w:rsidP="003D59E1">
      <w:pPr>
        <w:spacing w:after="0"/>
        <w:jc w:val="both"/>
        <w:rPr>
          <w:b/>
          <w:bCs/>
          <w:sz w:val="32"/>
          <w:szCs w:val="32"/>
          <w:lang w:val="fr-CD"/>
        </w:rPr>
      </w:pPr>
      <w:r w:rsidRPr="003D59E1">
        <w:rPr>
          <w:b/>
          <w:bCs/>
          <w:sz w:val="32"/>
          <w:szCs w:val="32"/>
          <w:lang w:val="fr-CD"/>
        </w:rPr>
        <w:t>Références</w:t>
      </w:r>
    </w:p>
    <w:p w14:paraId="5D8362EE" w14:textId="77777777" w:rsidR="003D59E1" w:rsidRDefault="003D59E1" w:rsidP="003D59E1">
      <w:pPr>
        <w:pStyle w:val="Paragraphedeliste"/>
        <w:numPr>
          <w:ilvl w:val="0"/>
          <w:numId w:val="2"/>
        </w:numPr>
        <w:jc w:val="both"/>
        <w:rPr>
          <w:sz w:val="24"/>
          <w:szCs w:val="24"/>
          <w:lang w:val="en-US"/>
        </w:rPr>
      </w:pPr>
      <w:r w:rsidRPr="003D59E1">
        <w:rPr>
          <w:sz w:val="24"/>
          <w:szCs w:val="24"/>
          <w:lang w:val="en-US"/>
        </w:rPr>
        <w:t xml:space="preserve">Richards P 2016, Ebola: how a people’s science helped end an epidemic, London: Zed Books; 2016. </w:t>
      </w:r>
    </w:p>
    <w:p w14:paraId="3D7E0BD8" w14:textId="79028C14" w:rsidR="003D59E1" w:rsidRDefault="003D59E1" w:rsidP="003D59E1">
      <w:pPr>
        <w:pStyle w:val="Paragraphedeliste"/>
        <w:numPr>
          <w:ilvl w:val="0"/>
          <w:numId w:val="2"/>
        </w:numPr>
        <w:jc w:val="both"/>
        <w:rPr>
          <w:sz w:val="24"/>
          <w:szCs w:val="24"/>
          <w:lang w:val="en-US"/>
        </w:rPr>
      </w:pPr>
      <w:proofErr w:type="spellStart"/>
      <w:r w:rsidRPr="003D59E1">
        <w:rPr>
          <w:sz w:val="24"/>
          <w:szCs w:val="24"/>
          <w:lang w:val="en-US"/>
        </w:rPr>
        <w:t>Pronyk</w:t>
      </w:r>
      <w:proofErr w:type="spellEnd"/>
      <w:r w:rsidRPr="003D59E1">
        <w:rPr>
          <w:sz w:val="24"/>
          <w:szCs w:val="24"/>
          <w:lang w:val="en-US"/>
        </w:rPr>
        <w:t xml:space="preserve"> P, Rogers B, Lee S, Bhatnagar A, Wolman Y, </w:t>
      </w:r>
      <w:proofErr w:type="spellStart"/>
      <w:r w:rsidRPr="003D59E1">
        <w:rPr>
          <w:sz w:val="24"/>
          <w:szCs w:val="24"/>
          <w:lang w:val="en-US"/>
        </w:rPr>
        <w:t>Monasch</w:t>
      </w:r>
      <w:proofErr w:type="spellEnd"/>
      <w:r w:rsidRPr="003D59E1">
        <w:rPr>
          <w:sz w:val="24"/>
          <w:szCs w:val="24"/>
          <w:lang w:val="en-US"/>
        </w:rPr>
        <w:t xml:space="preserve"> R, et al. 2016, The effect of community-based prevention and care on Ebola transmission in Sierra Leone, Am. J. Public Health, 106: 727–732; 2016. </w:t>
      </w:r>
      <w:hyperlink r:id="rId9" w:history="1">
        <w:r w:rsidRPr="00E02BE4">
          <w:rPr>
            <w:rStyle w:val="Lienhypertexte"/>
            <w:sz w:val="24"/>
            <w:szCs w:val="24"/>
            <w:lang w:val="en-US"/>
          </w:rPr>
          <w:t>https://doi.org/10.2105/AJPH.2015.303020</w:t>
        </w:r>
      </w:hyperlink>
      <w:r>
        <w:rPr>
          <w:sz w:val="24"/>
          <w:szCs w:val="24"/>
          <w:lang w:val="en-US"/>
        </w:rPr>
        <w:t xml:space="preserve"> </w:t>
      </w:r>
      <w:r w:rsidRPr="003D59E1">
        <w:rPr>
          <w:sz w:val="24"/>
          <w:szCs w:val="24"/>
          <w:lang w:val="en-US"/>
        </w:rPr>
        <w:t xml:space="preserve"> PMID: 26890176 </w:t>
      </w:r>
    </w:p>
    <w:p w14:paraId="0FCCCE06" w14:textId="0BD24265" w:rsidR="003D59E1" w:rsidRDefault="003D59E1" w:rsidP="003D59E1">
      <w:pPr>
        <w:pStyle w:val="Paragraphedeliste"/>
        <w:numPr>
          <w:ilvl w:val="0"/>
          <w:numId w:val="2"/>
        </w:numPr>
        <w:jc w:val="both"/>
        <w:rPr>
          <w:sz w:val="24"/>
          <w:szCs w:val="24"/>
          <w:lang w:val="en-US"/>
        </w:rPr>
      </w:pPr>
      <w:r w:rsidRPr="003D59E1">
        <w:rPr>
          <w:sz w:val="24"/>
          <w:szCs w:val="24"/>
          <w:lang w:val="en-US"/>
        </w:rPr>
        <w:t xml:space="preserve">Whitty CJM, Farrar J, Ferguson N, Edmunds WJ, Piot P, Leach M, Davies SC. Tough choices to reduce Ebola transmission, Nature 515, 13 November, 192–4; 2014. </w:t>
      </w:r>
      <w:hyperlink r:id="rId10" w:history="1">
        <w:r w:rsidR="00751701" w:rsidRPr="00E02BE4">
          <w:rPr>
            <w:rStyle w:val="Lienhypertexte"/>
            <w:sz w:val="24"/>
            <w:szCs w:val="24"/>
            <w:lang w:val="en-US"/>
          </w:rPr>
          <w:t>https://doi.org/10.1038/515192a</w:t>
        </w:r>
      </w:hyperlink>
      <w:r w:rsidR="00751701">
        <w:rPr>
          <w:sz w:val="24"/>
          <w:szCs w:val="24"/>
          <w:lang w:val="en-US"/>
        </w:rPr>
        <w:t xml:space="preserve"> </w:t>
      </w:r>
      <w:r w:rsidRPr="003D59E1">
        <w:rPr>
          <w:sz w:val="24"/>
          <w:szCs w:val="24"/>
          <w:lang w:val="en-US"/>
        </w:rPr>
        <w:t xml:space="preserve"> PMID: 25391946 </w:t>
      </w:r>
    </w:p>
    <w:p w14:paraId="564F921E"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Richards P, Amara J, </w:t>
      </w:r>
      <w:proofErr w:type="spellStart"/>
      <w:r w:rsidRPr="003D59E1">
        <w:rPr>
          <w:sz w:val="24"/>
          <w:szCs w:val="24"/>
          <w:lang w:val="en-US"/>
        </w:rPr>
        <w:t>Ferme</w:t>
      </w:r>
      <w:proofErr w:type="spellEnd"/>
      <w:r w:rsidRPr="003D59E1">
        <w:rPr>
          <w:sz w:val="24"/>
          <w:szCs w:val="24"/>
          <w:lang w:val="en-US"/>
        </w:rPr>
        <w:t xml:space="preserve"> MC, Kamara P, </w:t>
      </w:r>
      <w:proofErr w:type="spellStart"/>
      <w:r w:rsidRPr="003D59E1">
        <w:rPr>
          <w:sz w:val="24"/>
          <w:szCs w:val="24"/>
          <w:lang w:val="en-US"/>
        </w:rPr>
        <w:t>Mokuwa</w:t>
      </w:r>
      <w:proofErr w:type="spellEnd"/>
      <w:r w:rsidRPr="003D59E1">
        <w:rPr>
          <w:sz w:val="24"/>
          <w:szCs w:val="24"/>
          <w:lang w:val="en-US"/>
        </w:rPr>
        <w:t xml:space="preserve"> E, Sheriff AI, et al. 2015, Social Pathways for Ebola Virus Disease in Rural Sierra Leone, and Some Implications for Containment, </w:t>
      </w:r>
      <w:proofErr w:type="spellStart"/>
      <w:r w:rsidRPr="003D59E1">
        <w:rPr>
          <w:sz w:val="24"/>
          <w:szCs w:val="24"/>
          <w:lang w:val="en-US"/>
        </w:rPr>
        <w:t>PLoS</w:t>
      </w:r>
      <w:proofErr w:type="spellEnd"/>
      <w:r w:rsidRPr="003D59E1">
        <w:rPr>
          <w:sz w:val="24"/>
          <w:szCs w:val="24"/>
          <w:lang w:val="en-US"/>
        </w:rPr>
        <w:t xml:space="preserve"> </w:t>
      </w:r>
      <w:proofErr w:type="spellStart"/>
      <w:r w:rsidRPr="003D59E1">
        <w:rPr>
          <w:sz w:val="24"/>
          <w:szCs w:val="24"/>
          <w:lang w:val="en-US"/>
        </w:rPr>
        <w:t>Negl</w:t>
      </w:r>
      <w:proofErr w:type="spellEnd"/>
      <w:r w:rsidRPr="003D59E1">
        <w:rPr>
          <w:sz w:val="24"/>
          <w:szCs w:val="24"/>
          <w:lang w:val="en-US"/>
        </w:rPr>
        <w:t xml:space="preserve"> Trop Dis 9(4): e0003567. </w:t>
      </w:r>
      <w:hyperlink r:id="rId11" w:history="1">
        <w:r w:rsidR="00751701" w:rsidRPr="00E02BE4">
          <w:rPr>
            <w:rStyle w:val="Lienhypertexte"/>
            <w:sz w:val="24"/>
            <w:szCs w:val="24"/>
            <w:lang w:val="en-US"/>
          </w:rPr>
          <w:t>https://doi.org/10.1371/journal.pntd.0003567</w:t>
        </w:r>
      </w:hyperlink>
      <w:r w:rsidR="00751701">
        <w:rPr>
          <w:sz w:val="24"/>
          <w:szCs w:val="24"/>
          <w:lang w:val="en-US"/>
        </w:rPr>
        <w:t xml:space="preserve"> </w:t>
      </w:r>
      <w:r w:rsidRPr="003D59E1">
        <w:rPr>
          <w:sz w:val="24"/>
          <w:szCs w:val="24"/>
          <w:lang w:val="en-US"/>
        </w:rPr>
        <w:t xml:space="preserve"> PMID: 25886400 </w:t>
      </w:r>
    </w:p>
    <w:p w14:paraId="016EF5C6"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Oosterhoff P, </w:t>
      </w:r>
      <w:proofErr w:type="spellStart"/>
      <w:r w:rsidRPr="003D59E1">
        <w:rPr>
          <w:sz w:val="24"/>
          <w:szCs w:val="24"/>
          <w:lang w:val="en-US"/>
        </w:rPr>
        <w:t>Mokuwa</w:t>
      </w:r>
      <w:proofErr w:type="spellEnd"/>
      <w:r w:rsidRPr="003D59E1">
        <w:rPr>
          <w:sz w:val="24"/>
          <w:szCs w:val="24"/>
          <w:lang w:val="en-US"/>
        </w:rPr>
        <w:t xml:space="preserve"> EY, Wilkinson A. Community-based Ebola care </w:t>
      </w:r>
      <w:proofErr w:type="spellStart"/>
      <w:r w:rsidRPr="003D59E1">
        <w:rPr>
          <w:sz w:val="24"/>
          <w:szCs w:val="24"/>
          <w:lang w:val="en-US"/>
        </w:rPr>
        <w:t>centres</w:t>
      </w:r>
      <w:proofErr w:type="spellEnd"/>
      <w:r w:rsidRPr="003D59E1">
        <w:rPr>
          <w:sz w:val="24"/>
          <w:szCs w:val="24"/>
          <w:lang w:val="en-US"/>
        </w:rPr>
        <w:t xml:space="preserve">: a formative evaluation, Ebola Response Anthropology Platform, Institute of Development Studies, UK 2015, </w:t>
      </w:r>
      <w:hyperlink r:id="rId12" w:history="1">
        <w:r w:rsidR="00751701" w:rsidRPr="00E02BE4">
          <w:rPr>
            <w:rStyle w:val="Lienhypertexte"/>
            <w:sz w:val="24"/>
            <w:szCs w:val="24"/>
            <w:lang w:val="en-US"/>
          </w:rPr>
          <w:t>http://www.ebola-anthropology.net/</w:t>
        </w:r>
      </w:hyperlink>
      <w:r w:rsidR="00751701">
        <w:rPr>
          <w:sz w:val="24"/>
          <w:szCs w:val="24"/>
          <w:lang w:val="en-US"/>
        </w:rPr>
        <w:t xml:space="preserve">  </w:t>
      </w:r>
      <w:r w:rsidRPr="003D59E1">
        <w:rPr>
          <w:sz w:val="24"/>
          <w:szCs w:val="24"/>
          <w:lang w:val="en-US"/>
        </w:rPr>
        <w:t xml:space="preserve"> </w:t>
      </w:r>
    </w:p>
    <w:p w14:paraId="13F46BB2"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BMJ UK’s plan to build community care </w:t>
      </w:r>
      <w:proofErr w:type="spellStart"/>
      <w:r w:rsidRPr="003D59E1">
        <w:rPr>
          <w:sz w:val="24"/>
          <w:szCs w:val="24"/>
          <w:lang w:val="en-US"/>
        </w:rPr>
        <w:t>centres</w:t>
      </w:r>
      <w:proofErr w:type="spellEnd"/>
      <w:r w:rsidRPr="003D59E1">
        <w:rPr>
          <w:sz w:val="24"/>
          <w:szCs w:val="24"/>
          <w:lang w:val="en-US"/>
        </w:rPr>
        <w:t xml:space="preserve"> for Ebola patients is questioned: BMJ </w:t>
      </w:r>
      <w:proofErr w:type="gramStart"/>
      <w:r w:rsidRPr="003D59E1">
        <w:rPr>
          <w:sz w:val="24"/>
          <w:szCs w:val="24"/>
          <w:lang w:val="en-US"/>
        </w:rPr>
        <w:t>349:g</w:t>
      </w:r>
      <w:proofErr w:type="gramEnd"/>
      <w:r w:rsidRPr="003D59E1">
        <w:rPr>
          <w:sz w:val="24"/>
          <w:szCs w:val="24"/>
          <w:lang w:val="en-US"/>
        </w:rPr>
        <w:t xml:space="preserve">6788 2014. </w:t>
      </w:r>
      <w:hyperlink r:id="rId13" w:history="1">
        <w:r w:rsidR="00751701" w:rsidRPr="00E02BE4">
          <w:rPr>
            <w:rStyle w:val="Lienhypertexte"/>
            <w:sz w:val="24"/>
            <w:szCs w:val="24"/>
            <w:lang w:val="en-US"/>
          </w:rPr>
          <w:t>https://doi.org/10.1136/bmj.g6788</w:t>
        </w:r>
      </w:hyperlink>
      <w:r w:rsidR="00751701">
        <w:rPr>
          <w:sz w:val="24"/>
          <w:szCs w:val="24"/>
          <w:lang w:val="en-US"/>
        </w:rPr>
        <w:t xml:space="preserve"> </w:t>
      </w:r>
      <w:r w:rsidRPr="003D59E1">
        <w:rPr>
          <w:sz w:val="24"/>
          <w:szCs w:val="24"/>
          <w:lang w:val="en-US"/>
        </w:rPr>
        <w:t xml:space="preserve"> PMID: 25391517 </w:t>
      </w:r>
    </w:p>
    <w:p w14:paraId="4FAE1FD9"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lastRenderedPageBreak/>
        <w:t>Farmer P, Le ´</w:t>
      </w:r>
      <w:proofErr w:type="spellStart"/>
      <w:r w:rsidRPr="003D59E1">
        <w:rPr>
          <w:sz w:val="24"/>
          <w:szCs w:val="24"/>
          <w:lang w:val="en-US"/>
        </w:rPr>
        <w:t>andre</w:t>
      </w:r>
      <w:proofErr w:type="spellEnd"/>
      <w:r w:rsidRPr="003D59E1">
        <w:rPr>
          <w:sz w:val="24"/>
          <w:szCs w:val="24"/>
          <w:lang w:val="en-US"/>
        </w:rPr>
        <w:t xml:space="preserve"> F, Mukherjee JS, Claude MS et al. 2001, Community-based approaches to HIV treatment in resource-poor settings, Lancet 2001; 358: 404–09 </w:t>
      </w:r>
      <w:hyperlink r:id="rId14" w:history="1">
        <w:r w:rsidR="00751701" w:rsidRPr="00E02BE4">
          <w:rPr>
            <w:rStyle w:val="Lienhypertexte"/>
            <w:sz w:val="24"/>
            <w:szCs w:val="24"/>
            <w:lang w:val="en-US"/>
          </w:rPr>
          <w:t>https://doi.org/10.1016/s0140-6736(01)05550-7</w:t>
        </w:r>
      </w:hyperlink>
      <w:r w:rsidR="00751701">
        <w:rPr>
          <w:sz w:val="24"/>
          <w:szCs w:val="24"/>
          <w:lang w:val="en-US"/>
        </w:rPr>
        <w:t xml:space="preserve"> </w:t>
      </w:r>
      <w:r w:rsidRPr="003D59E1">
        <w:rPr>
          <w:sz w:val="24"/>
          <w:szCs w:val="24"/>
          <w:lang w:val="en-US"/>
        </w:rPr>
        <w:t xml:space="preserve"> PMID: 11502340 </w:t>
      </w:r>
    </w:p>
    <w:p w14:paraId="12106033"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Thapa S, </w:t>
      </w:r>
      <w:proofErr w:type="spellStart"/>
      <w:r w:rsidRPr="003D59E1">
        <w:rPr>
          <w:sz w:val="24"/>
          <w:szCs w:val="24"/>
          <w:lang w:val="en-US"/>
        </w:rPr>
        <w:t>Aro</w:t>
      </w:r>
      <w:proofErr w:type="spellEnd"/>
      <w:r w:rsidRPr="003D59E1">
        <w:rPr>
          <w:sz w:val="24"/>
          <w:szCs w:val="24"/>
          <w:lang w:val="en-US"/>
        </w:rPr>
        <w:t xml:space="preserve"> A R 2018, Strategies to integrate community-based traditional and complementary healthcare systems into mainstream HIV prevention programs in resource-limited settings. Global Health 14, 64 (2018) </w:t>
      </w:r>
      <w:hyperlink r:id="rId15" w:history="1">
        <w:r w:rsidR="00751701" w:rsidRPr="00E02BE4">
          <w:rPr>
            <w:rStyle w:val="Lienhypertexte"/>
            <w:sz w:val="24"/>
            <w:szCs w:val="24"/>
            <w:lang w:val="en-US"/>
          </w:rPr>
          <w:t>https://doi.org/10.1186/s12992-018-0383-4</w:t>
        </w:r>
      </w:hyperlink>
      <w:r w:rsidR="00751701">
        <w:rPr>
          <w:sz w:val="24"/>
          <w:szCs w:val="24"/>
          <w:lang w:val="en-US"/>
        </w:rPr>
        <w:t xml:space="preserve"> </w:t>
      </w:r>
      <w:r w:rsidRPr="003D59E1">
        <w:rPr>
          <w:sz w:val="24"/>
          <w:szCs w:val="24"/>
          <w:lang w:val="en-US"/>
        </w:rPr>
        <w:t xml:space="preserve"> </w:t>
      </w:r>
    </w:p>
    <w:p w14:paraId="7097FE3E"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Sengupta P, Benjamin A, Myles P, Babu B 2016, Evaluation of a community-based intervention to improve routine childhood vaccination uptake among migrants in urban slums of Ludhiana, India, Journal of Public Health 39, </w:t>
      </w:r>
      <w:hyperlink r:id="rId16" w:history="1">
        <w:r w:rsidR="00751701" w:rsidRPr="00E02BE4">
          <w:rPr>
            <w:rStyle w:val="Lienhypertexte"/>
            <w:sz w:val="24"/>
            <w:szCs w:val="24"/>
            <w:lang w:val="en-US"/>
          </w:rPr>
          <w:t>https://doi.org/10.1093/pubmed/fdw131</w:t>
        </w:r>
      </w:hyperlink>
      <w:r w:rsidR="00751701">
        <w:rPr>
          <w:sz w:val="24"/>
          <w:szCs w:val="24"/>
          <w:lang w:val="en-US"/>
        </w:rPr>
        <w:t xml:space="preserve"> </w:t>
      </w:r>
    </w:p>
    <w:p w14:paraId="5ADE91A4"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ICAP, Rapid mixed methods assessment of the Ebola community care </w:t>
      </w:r>
      <w:proofErr w:type="spellStart"/>
      <w:r w:rsidRPr="003D59E1">
        <w:rPr>
          <w:sz w:val="24"/>
          <w:szCs w:val="24"/>
          <w:lang w:val="en-US"/>
        </w:rPr>
        <w:t>centre</w:t>
      </w:r>
      <w:proofErr w:type="spellEnd"/>
      <w:r w:rsidRPr="003D59E1">
        <w:rPr>
          <w:sz w:val="24"/>
          <w:szCs w:val="24"/>
          <w:lang w:val="en-US"/>
        </w:rPr>
        <w:t xml:space="preserve"> model in Sierra Leone, ICAP, Mailman School of Public Health, Columbia University, New York (pp. 45); 2015. </w:t>
      </w:r>
    </w:p>
    <w:p w14:paraId="0B9ED543"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Douglas M. Cultural Bias, In the Active Voice. London: Routledge; 1982. </w:t>
      </w:r>
    </w:p>
    <w:p w14:paraId="2A88ED56"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Douglas M. In the Wilderness: the doctrine of defilement in the Book of Numbers, Oxford: Oxford University Press; 1993. </w:t>
      </w:r>
    </w:p>
    <w:p w14:paraId="116B8D74"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Douglas M. Four cultures: the evolution of a parsimonious model, </w:t>
      </w:r>
      <w:proofErr w:type="spellStart"/>
      <w:r w:rsidRPr="003D59E1">
        <w:rPr>
          <w:sz w:val="24"/>
          <w:szCs w:val="24"/>
          <w:lang w:val="en-US"/>
        </w:rPr>
        <w:t>Geojournal</w:t>
      </w:r>
      <w:proofErr w:type="spellEnd"/>
      <w:r w:rsidRPr="003D59E1">
        <w:rPr>
          <w:sz w:val="24"/>
          <w:szCs w:val="24"/>
          <w:lang w:val="en-US"/>
        </w:rPr>
        <w:t xml:space="preserve"> 47: 411–15; 1999. </w:t>
      </w:r>
    </w:p>
    <w:p w14:paraId="229054AB" w14:textId="77777777" w:rsidR="00751701" w:rsidRDefault="003D59E1" w:rsidP="003D59E1">
      <w:pPr>
        <w:pStyle w:val="Paragraphedeliste"/>
        <w:numPr>
          <w:ilvl w:val="0"/>
          <w:numId w:val="2"/>
        </w:numPr>
        <w:jc w:val="both"/>
        <w:rPr>
          <w:sz w:val="24"/>
          <w:szCs w:val="24"/>
          <w:lang w:val="en-US"/>
        </w:rPr>
      </w:pPr>
      <w:r w:rsidRPr="003D59E1">
        <w:rPr>
          <w:sz w:val="24"/>
          <w:szCs w:val="24"/>
          <w:lang w:val="en-US"/>
        </w:rPr>
        <w:t xml:space="preserve">6 P, Richards P. ‘Mary Douglas: understanding social thought and conflict’, New York and Oxford: </w:t>
      </w:r>
      <w:proofErr w:type="spellStart"/>
      <w:r w:rsidRPr="003D59E1">
        <w:rPr>
          <w:sz w:val="24"/>
          <w:szCs w:val="24"/>
          <w:lang w:val="en-US"/>
        </w:rPr>
        <w:t>Berghahn</w:t>
      </w:r>
      <w:proofErr w:type="spellEnd"/>
      <w:r w:rsidRPr="003D59E1">
        <w:rPr>
          <w:sz w:val="24"/>
          <w:szCs w:val="24"/>
          <w:lang w:val="en-US"/>
        </w:rPr>
        <w:t>; 2017.</w:t>
      </w:r>
    </w:p>
    <w:p w14:paraId="55E29688" w14:textId="77777777" w:rsidR="00751701" w:rsidRDefault="003D59E1" w:rsidP="003D59E1">
      <w:pPr>
        <w:pStyle w:val="Paragraphedeliste"/>
        <w:numPr>
          <w:ilvl w:val="0"/>
          <w:numId w:val="2"/>
        </w:numPr>
        <w:jc w:val="both"/>
        <w:rPr>
          <w:sz w:val="24"/>
          <w:szCs w:val="24"/>
          <w:lang w:val="en-US"/>
        </w:rPr>
      </w:pPr>
      <w:proofErr w:type="spellStart"/>
      <w:r w:rsidRPr="00751701">
        <w:rPr>
          <w:sz w:val="24"/>
          <w:szCs w:val="24"/>
          <w:lang w:val="en-US"/>
        </w:rPr>
        <w:t>Bulte</w:t>
      </w:r>
      <w:proofErr w:type="spellEnd"/>
      <w:r w:rsidRPr="00751701">
        <w:rPr>
          <w:sz w:val="24"/>
          <w:szCs w:val="24"/>
          <w:lang w:val="en-US"/>
        </w:rPr>
        <w:t xml:space="preserve"> E, Richards P, </w:t>
      </w:r>
      <w:proofErr w:type="spellStart"/>
      <w:r w:rsidRPr="00751701">
        <w:rPr>
          <w:sz w:val="24"/>
          <w:szCs w:val="24"/>
          <w:lang w:val="en-US"/>
        </w:rPr>
        <w:t>Voors</w:t>
      </w:r>
      <w:proofErr w:type="spellEnd"/>
      <w:r w:rsidRPr="00751701">
        <w:rPr>
          <w:sz w:val="24"/>
          <w:szCs w:val="24"/>
          <w:lang w:val="en-US"/>
        </w:rPr>
        <w:t xml:space="preserve"> M. Institutions and agrarian development: a new approach to West Africa, New York: Palgrave; 2018. </w:t>
      </w:r>
    </w:p>
    <w:p w14:paraId="528E29B2" w14:textId="77777777" w:rsidR="00751701" w:rsidRDefault="003D59E1" w:rsidP="003D59E1">
      <w:pPr>
        <w:pStyle w:val="Paragraphedeliste"/>
        <w:numPr>
          <w:ilvl w:val="0"/>
          <w:numId w:val="2"/>
        </w:numPr>
        <w:jc w:val="both"/>
        <w:rPr>
          <w:sz w:val="24"/>
          <w:szCs w:val="24"/>
          <w:lang w:val="en-US"/>
        </w:rPr>
      </w:pPr>
      <w:proofErr w:type="spellStart"/>
      <w:r w:rsidRPr="00751701">
        <w:rPr>
          <w:sz w:val="24"/>
          <w:szCs w:val="24"/>
          <w:lang w:val="en-US"/>
        </w:rPr>
        <w:t>Mokuwa</w:t>
      </w:r>
      <w:proofErr w:type="spellEnd"/>
      <w:r w:rsidRPr="00751701">
        <w:rPr>
          <w:sz w:val="24"/>
          <w:szCs w:val="24"/>
          <w:lang w:val="en-US"/>
        </w:rPr>
        <w:t xml:space="preserve"> E, </w:t>
      </w:r>
      <w:proofErr w:type="spellStart"/>
      <w:r w:rsidRPr="00751701">
        <w:rPr>
          <w:sz w:val="24"/>
          <w:szCs w:val="24"/>
          <w:lang w:val="en-US"/>
        </w:rPr>
        <w:t>Voors</w:t>
      </w:r>
      <w:proofErr w:type="spellEnd"/>
      <w:r w:rsidRPr="00751701">
        <w:rPr>
          <w:sz w:val="24"/>
          <w:szCs w:val="24"/>
          <w:lang w:val="en-US"/>
        </w:rPr>
        <w:t xml:space="preserve"> M, </w:t>
      </w:r>
      <w:proofErr w:type="spellStart"/>
      <w:r w:rsidRPr="00751701">
        <w:rPr>
          <w:sz w:val="24"/>
          <w:szCs w:val="24"/>
          <w:lang w:val="en-US"/>
        </w:rPr>
        <w:t>Bulte</w:t>
      </w:r>
      <w:proofErr w:type="spellEnd"/>
      <w:r w:rsidRPr="00751701">
        <w:rPr>
          <w:sz w:val="24"/>
          <w:szCs w:val="24"/>
          <w:lang w:val="en-US"/>
        </w:rPr>
        <w:t xml:space="preserve"> E, Richards P. Peasant grievance and insurgency in Sierra Leone: judicial serfdom as a driver of conflict, African Affairs </w:t>
      </w:r>
      <w:hyperlink r:id="rId17" w:history="1">
        <w:r w:rsidR="00751701" w:rsidRPr="00E02BE4">
          <w:rPr>
            <w:rStyle w:val="Lienhypertexte"/>
            <w:sz w:val="24"/>
            <w:szCs w:val="24"/>
            <w:lang w:val="en-US"/>
          </w:rPr>
          <w:t>https://doi.org/10.1093/afraf/adr019</w:t>
        </w:r>
      </w:hyperlink>
      <w:r w:rsidR="00751701">
        <w:rPr>
          <w:sz w:val="24"/>
          <w:szCs w:val="24"/>
          <w:lang w:val="en-US"/>
        </w:rPr>
        <w:t xml:space="preserve"> </w:t>
      </w:r>
      <w:r w:rsidRPr="00751701">
        <w:rPr>
          <w:sz w:val="24"/>
          <w:szCs w:val="24"/>
          <w:lang w:val="en-US"/>
        </w:rPr>
        <w:t xml:space="preserve">2011. </w:t>
      </w:r>
    </w:p>
    <w:p w14:paraId="1AEA4B5F" w14:textId="77777777" w:rsidR="00751701" w:rsidRDefault="003D59E1" w:rsidP="003D59E1">
      <w:pPr>
        <w:pStyle w:val="Paragraphedeliste"/>
        <w:numPr>
          <w:ilvl w:val="0"/>
          <w:numId w:val="2"/>
        </w:numPr>
        <w:jc w:val="both"/>
        <w:rPr>
          <w:sz w:val="24"/>
          <w:szCs w:val="24"/>
          <w:lang w:val="en-US"/>
        </w:rPr>
      </w:pPr>
      <w:proofErr w:type="spellStart"/>
      <w:r w:rsidRPr="00751701">
        <w:rPr>
          <w:sz w:val="24"/>
          <w:szCs w:val="24"/>
          <w:lang w:val="en-US"/>
        </w:rPr>
        <w:t>Ferme</w:t>
      </w:r>
      <w:proofErr w:type="spellEnd"/>
      <w:r w:rsidRPr="00751701">
        <w:rPr>
          <w:sz w:val="24"/>
          <w:szCs w:val="24"/>
          <w:lang w:val="en-US"/>
        </w:rPr>
        <w:t xml:space="preserve"> M 2001, The underneath of things: violence, history and the everyday in Sierra Leone, Berkeley: University of California Press </w:t>
      </w:r>
    </w:p>
    <w:p w14:paraId="122A6AEB" w14:textId="77777777" w:rsidR="00751701" w:rsidRDefault="003D59E1" w:rsidP="003D59E1">
      <w:pPr>
        <w:pStyle w:val="Paragraphedeliste"/>
        <w:numPr>
          <w:ilvl w:val="0"/>
          <w:numId w:val="2"/>
        </w:numPr>
        <w:jc w:val="both"/>
        <w:rPr>
          <w:sz w:val="24"/>
          <w:szCs w:val="24"/>
          <w:lang w:val="en-US"/>
        </w:rPr>
      </w:pPr>
      <w:r w:rsidRPr="00751701">
        <w:rPr>
          <w:sz w:val="24"/>
          <w:szCs w:val="24"/>
          <w:lang w:val="en-US"/>
        </w:rPr>
        <w:t xml:space="preserve">Richards P, </w:t>
      </w:r>
      <w:proofErr w:type="spellStart"/>
      <w:r w:rsidRPr="00751701">
        <w:rPr>
          <w:sz w:val="24"/>
          <w:szCs w:val="24"/>
          <w:lang w:val="en-US"/>
        </w:rPr>
        <w:t>Mokuwa</w:t>
      </w:r>
      <w:proofErr w:type="spellEnd"/>
      <w:r w:rsidRPr="00751701">
        <w:rPr>
          <w:sz w:val="24"/>
          <w:szCs w:val="24"/>
          <w:lang w:val="en-US"/>
        </w:rPr>
        <w:t xml:space="preserve"> E, </w:t>
      </w:r>
      <w:proofErr w:type="spellStart"/>
      <w:r w:rsidRPr="00751701">
        <w:rPr>
          <w:sz w:val="24"/>
          <w:szCs w:val="24"/>
          <w:lang w:val="en-US"/>
        </w:rPr>
        <w:t>Welmers</w:t>
      </w:r>
      <w:proofErr w:type="spellEnd"/>
      <w:r w:rsidRPr="00751701">
        <w:rPr>
          <w:sz w:val="24"/>
          <w:szCs w:val="24"/>
          <w:lang w:val="en-US"/>
        </w:rPr>
        <w:t xml:space="preserve"> P, Maat H, and </w:t>
      </w:r>
      <w:proofErr w:type="spellStart"/>
      <w:r w:rsidRPr="00751701">
        <w:rPr>
          <w:sz w:val="24"/>
          <w:szCs w:val="24"/>
          <w:lang w:val="en-US"/>
        </w:rPr>
        <w:t>Beisel</w:t>
      </w:r>
      <w:proofErr w:type="spellEnd"/>
      <w:r w:rsidRPr="00751701">
        <w:rPr>
          <w:sz w:val="24"/>
          <w:szCs w:val="24"/>
          <w:lang w:val="en-US"/>
        </w:rPr>
        <w:t xml:space="preserve"> U 2019, Trust, and distrust, of Ebola Treatment Centers: A case-study from Sierra Leone, </w:t>
      </w:r>
      <w:proofErr w:type="spellStart"/>
      <w:r w:rsidRPr="00751701">
        <w:rPr>
          <w:sz w:val="24"/>
          <w:szCs w:val="24"/>
          <w:lang w:val="en-US"/>
        </w:rPr>
        <w:t>PLoS</w:t>
      </w:r>
      <w:proofErr w:type="spellEnd"/>
      <w:r w:rsidRPr="00751701">
        <w:rPr>
          <w:sz w:val="24"/>
          <w:szCs w:val="24"/>
          <w:lang w:val="en-US"/>
        </w:rPr>
        <w:t xml:space="preserve"> ONE </w:t>
      </w:r>
      <w:hyperlink r:id="rId18" w:history="1">
        <w:r w:rsidR="00751701" w:rsidRPr="00E02BE4">
          <w:rPr>
            <w:rStyle w:val="Lienhypertexte"/>
            <w:sz w:val="24"/>
            <w:szCs w:val="24"/>
            <w:lang w:val="en-US"/>
          </w:rPr>
          <w:t>https://doi.org/10.1371/journal.pone.0224511</w:t>
        </w:r>
      </w:hyperlink>
      <w:r w:rsidR="00751701">
        <w:rPr>
          <w:sz w:val="24"/>
          <w:szCs w:val="24"/>
          <w:lang w:val="en-US"/>
        </w:rPr>
        <w:t xml:space="preserve"> </w:t>
      </w:r>
    </w:p>
    <w:p w14:paraId="5BE31B6D" w14:textId="77777777" w:rsidR="00751701" w:rsidRDefault="003D59E1" w:rsidP="003D59E1">
      <w:pPr>
        <w:pStyle w:val="Paragraphedeliste"/>
        <w:numPr>
          <w:ilvl w:val="0"/>
          <w:numId w:val="2"/>
        </w:numPr>
        <w:jc w:val="both"/>
        <w:rPr>
          <w:sz w:val="24"/>
          <w:szCs w:val="24"/>
          <w:lang w:val="en-US"/>
        </w:rPr>
      </w:pPr>
      <w:r w:rsidRPr="00751701">
        <w:rPr>
          <w:sz w:val="24"/>
          <w:szCs w:val="24"/>
          <w:lang w:val="en-US"/>
        </w:rPr>
        <w:t>Government of Sierra Leone (</w:t>
      </w:r>
      <w:proofErr w:type="spellStart"/>
      <w:r w:rsidRPr="00751701">
        <w:rPr>
          <w:sz w:val="24"/>
          <w:szCs w:val="24"/>
          <w:lang w:val="en-US"/>
        </w:rPr>
        <w:t>GoSL</w:t>
      </w:r>
      <w:proofErr w:type="spellEnd"/>
      <w:r w:rsidRPr="00751701">
        <w:rPr>
          <w:sz w:val="24"/>
          <w:szCs w:val="24"/>
          <w:lang w:val="en-US"/>
        </w:rPr>
        <w:t xml:space="preserve">). Byelaws for all chiefdoms in Sierra Leone: Byelaws for the prevention of Ebola and other diseases, approved by Parliament on Friday 8th August 2014 under Section 29 of the Constitution of Sierra Leone Act No. 6 of 1991; 2014. </w:t>
      </w:r>
    </w:p>
    <w:p w14:paraId="0474F76A" w14:textId="5BC6ACEC" w:rsidR="003D59E1" w:rsidRPr="00751701" w:rsidRDefault="003D59E1" w:rsidP="003D59E1">
      <w:pPr>
        <w:pStyle w:val="Paragraphedeliste"/>
        <w:numPr>
          <w:ilvl w:val="0"/>
          <w:numId w:val="2"/>
        </w:numPr>
        <w:jc w:val="both"/>
        <w:rPr>
          <w:sz w:val="24"/>
          <w:szCs w:val="24"/>
          <w:lang w:val="en-US"/>
        </w:rPr>
      </w:pPr>
      <w:proofErr w:type="spellStart"/>
      <w:r w:rsidRPr="00751701">
        <w:rPr>
          <w:sz w:val="24"/>
          <w:szCs w:val="24"/>
          <w:lang w:val="en-US"/>
        </w:rPr>
        <w:t>Krah</w:t>
      </w:r>
      <w:proofErr w:type="spellEnd"/>
      <w:r w:rsidRPr="00751701">
        <w:rPr>
          <w:sz w:val="24"/>
          <w:szCs w:val="24"/>
          <w:lang w:val="en-US"/>
        </w:rPr>
        <w:t xml:space="preserve"> E, de </w:t>
      </w:r>
      <w:proofErr w:type="spellStart"/>
      <w:r w:rsidRPr="00751701">
        <w:rPr>
          <w:sz w:val="24"/>
          <w:szCs w:val="24"/>
          <w:lang w:val="en-US"/>
        </w:rPr>
        <w:t>Kruijf</w:t>
      </w:r>
      <w:proofErr w:type="spellEnd"/>
      <w:r w:rsidRPr="00751701">
        <w:rPr>
          <w:sz w:val="24"/>
          <w:szCs w:val="24"/>
          <w:lang w:val="en-US"/>
        </w:rPr>
        <w:t xml:space="preserve"> J, and </w:t>
      </w:r>
      <w:proofErr w:type="spellStart"/>
      <w:r w:rsidRPr="00751701">
        <w:rPr>
          <w:sz w:val="24"/>
          <w:szCs w:val="24"/>
          <w:lang w:val="en-US"/>
        </w:rPr>
        <w:t>Ragno</w:t>
      </w:r>
      <w:proofErr w:type="spellEnd"/>
      <w:r w:rsidRPr="00751701">
        <w:rPr>
          <w:sz w:val="24"/>
          <w:szCs w:val="24"/>
          <w:lang w:val="en-US"/>
        </w:rPr>
        <w:t xml:space="preserve"> L 2017, Integrating traditional healers into the health care system: challenges and opportunities in rural northern Ghana, J Community Health. 2018; 43(1): 157–163, Published online 2017 Jul 5. </w:t>
      </w:r>
      <w:hyperlink r:id="rId19" w:history="1">
        <w:r w:rsidR="00751701" w:rsidRPr="00E02BE4">
          <w:rPr>
            <w:rStyle w:val="Lienhypertexte"/>
            <w:sz w:val="24"/>
            <w:szCs w:val="24"/>
            <w:lang w:val="en-US"/>
          </w:rPr>
          <w:t>https://doi.org/10.1007/s10900-017-0398-4</w:t>
        </w:r>
      </w:hyperlink>
      <w:r w:rsidR="00751701">
        <w:rPr>
          <w:sz w:val="24"/>
          <w:szCs w:val="24"/>
          <w:lang w:val="en-US"/>
        </w:rPr>
        <w:t xml:space="preserve"> </w:t>
      </w:r>
      <w:r w:rsidRPr="00751701">
        <w:rPr>
          <w:sz w:val="24"/>
          <w:szCs w:val="24"/>
          <w:lang w:val="en-US"/>
        </w:rPr>
        <w:t xml:space="preserve"> PMID: 28681282</w:t>
      </w:r>
    </w:p>
    <w:sectPr w:rsidR="003D59E1" w:rsidRPr="00751701">
      <w:headerReference w:type="even" r:id="rId20"/>
      <w:headerReference w:type="default" r:id="rId21"/>
      <w:footerReference w:type="even" r:id="rId22"/>
      <w:footerReference w:type="default" r:id="rId23"/>
      <w:headerReference w:type="first" r:id="rId24"/>
      <w:footerReference w:type="first" r:id="rId25"/>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5D94C2" w14:textId="77777777" w:rsidR="009A0291" w:rsidRDefault="009A0291" w:rsidP="009D6585">
      <w:pPr>
        <w:spacing w:after="0" w:line="240" w:lineRule="auto"/>
      </w:pPr>
      <w:r>
        <w:separator/>
      </w:r>
    </w:p>
  </w:endnote>
  <w:endnote w:type="continuationSeparator" w:id="0">
    <w:p w14:paraId="55924DB4" w14:textId="77777777" w:rsidR="009A0291" w:rsidRDefault="009A0291" w:rsidP="009D6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129C6" w14:textId="77777777" w:rsidR="007B6308" w:rsidRDefault="007B630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9696542"/>
      <w:docPartObj>
        <w:docPartGallery w:val="Page Numbers (Bottom of Page)"/>
        <w:docPartUnique/>
      </w:docPartObj>
    </w:sdtPr>
    <w:sdtEndPr/>
    <w:sdtContent>
      <w:sdt>
        <w:sdtPr>
          <w:id w:val="-1769616900"/>
          <w:docPartObj>
            <w:docPartGallery w:val="Page Numbers (Top of Page)"/>
            <w:docPartUnique/>
          </w:docPartObj>
        </w:sdtPr>
        <w:sdtEndPr/>
        <w:sdtContent>
          <w:p w14:paraId="7B307CD4" w14:textId="12B406CE" w:rsidR="009D6585" w:rsidRDefault="004A684C">
            <w:pPr>
              <w:pStyle w:val="Pieddepage"/>
              <w:jc w:val="right"/>
            </w:pPr>
            <w:r>
              <w:t xml:space="preserve">  </w:t>
            </w:r>
            <w:r w:rsidR="009D6585">
              <w:t xml:space="preserve">Page </w:t>
            </w:r>
            <w:r w:rsidR="009D6585">
              <w:rPr>
                <w:b/>
                <w:bCs/>
                <w:sz w:val="24"/>
                <w:szCs w:val="24"/>
              </w:rPr>
              <w:fldChar w:fldCharType="begin"/>
            </w:r>
            <w:r w:rsidR="009D6585">
              <w:rPr>
                <w:b/>
                <w:bCs/>
              </w:rPr>
              <w:instrText>PAGE</w:instrText>
            </w:r>
            <w:r w:rsidR="009D6585">
              <w:rPr>
                <w:b/>
                <w:bCs/>
                <w:sz w:val="24"/>
                <w:szCs w:val="24"/>
              </w:rPr>
              <w:fldChar w:fldCharType="separate"/>
            </w:r>
            <w:r w:rsidR="009D6585">
              <w:rPr>
                <w:b/>
                <w:bCs/>
              </w:rPr>
              <w:t>2</w:t>
            </w:r>
            <w:r w:rsidR="009D6585">
              <w:rPr>
                <w:b/>
                <w:bCs/>
                <w:sz w:val="24"/>
                <w:szCs w:val="24"/>
              </w:rPr>
              <w:fldChar w:fldCharType="end"/>
            </w:r>
            <w:r w:rsidR="009D6585">
              <w:t xml:space="preserve"> sur </w:t>
            </w:r>
            <w:r w:rsidR="009D6585">
              <w:rPr>
                <w:b/>
                <w:bCs/>
                <w:sz w:val="24"/>
                <w:szCs w:val="24"/>
              </w:rPr>
              <w:fldChar w:fldCharType="begin"/>
            </w:r>
            <w:r w:rsidR="009D6585">
              <w:rPr>
                <w:b/>
                <w:bCs/>
              </w:rPr>
              <w:instrText>NUMPAGES</w:instrText>
            </w:r>
            <w:r w:rsidR="009D6585">
              <w:rPr>
                <w:b/>
                <w:bCs/>
                <w:sz w:val="24"/>
                <w:szCs w:val="24"/>
              </w:rPr>
              <w:fldChar w:fldCharType="separate"/>
            </w:r>
            <w:r w:rsidR="009D6585">
              <w:rPr>
                <w:b/>
                <w:bCs/>
              </w:rPr>
              <w:t>2</w:t>
            </w:r>
            <w:r w:rsidR="009D6585">
              <w:rPr>
                <w:b/>
                <w:bCs/>
                <w:sz w:val="24"/>
                <w:szCs w:val="24"/>
              </w:rPr>
              <w:fldChar w:fldCharType="end"/>
            </w:r>
          </w:p>
        </w:sdtContent>
      </w:sdt>
    </w:sdtContent>
  </w:sdt>
  <w:p w14:paraId="53B832A8" w14:textId="77777777" w:rsidR="007B6308" w:rsidRDefault="007B6308" w:rsidP="009D6585">
    <w:pPr>
      <w:pStyle w:val="Pieddepage"/>
      <w:rPr>
        <w:rFonts w:cstheme="minorHAnsi"/>
        <w:color w:val="222222"/>
        <w:shd w:val="clear" w:color="auto" w:fill="FFFFFF"/>
        <w:lang w:val="en-US"/>
      </w:rPr>
    </w:pPr>
  </w:p>
  <w:p w14:paraId="3980AF6F" w14:textId="441B09CE" w:rsidR="007B6308" w:rsidRPr="007B6308" w:rsidRDefault="007B6308" w:rsidP="009D6585">
    <w:pPr>
      <w:pStyle w:val="Pieddepage"/>
      <w:rPr>
        <w:rFonts w:cstheme="minorHAnsi"/>
        <w:lang w:val="en-US"/>
      </w:rPr>
    </w:pPr>
    <w:proofErr w:type="spellStart"/>
    <w:r w:rsidRPr="007B6308">
      <w:rPr>
        <w:rFonts w:cstheme="minorHAnsi"/>
        <w:color w:val="222222"/>
        <w:shd w:val="clear" w:color="auto" w:fill="FFFFFF"/>
        <w:lang w:val="en-US"/>
      </w:rPr>
      <w:t>Mokuwa</w:t>
    </w:r>
    <w:proofErr w:type="spellEnd"/>
    <w:r w:rsidRPr="007B6308">
      <w:rPr>
        <w:rFonts w:cstheme="minorHAnsi"/>
        <w:color w:val="222222"/>
        <w:shd w:val="clear" w:color="auto" w:fill="FFFFFF"/>
        <w:lang w:val="en-US"/>
      </w:rPr>
      <w:t xml:space="preserve"> EY, Maat H (2020) Rural populations exposed to Ebola Virus Disease respond positively to </w:t>
    </w:r>
    <w:proofErr w:type="spellStart"/>
    <w:r w:rsidRPr="007B6308">
      <w:rPr>
        <w:rFonts w:cstheme="minorHAnsi"/>
        <w:color w:val="222222"/>
        <w:shd w:val="clear" w:color="auto" w:fill="FFFFFF"/>
        <w:lang w:val="en-US"/>
      </w:rPr>
      <w:t>localised</w:t>
    </w:r>
    <w:proofErr w:type="spellEnd"/>
    <w:r w:rsidRPr="007B6308">
      <w:rPr>
        <w:rFonts w:cstheme="minorHAnsi"/>
        <w:color w:val="222222"/>
        <w:shd w:val="clear" w:color="auto" w:fill="FFFFFF"/>
        <w:lang w:val="en-US"/>
      </w:rPr>
      <w:t xml:space="preserve"> case handling: Evidence from Sierra Leone. PL</w:t>
    </w:r>
    <w:r w:rsidRPr="007B6308">
      <w:rPr>
        <w:rFonts w:cstheme="minorHAnsi"/>
        <w:color w:val="222222"/>
        <w:shd w:val="clear" w:color="auto" w:fill="FFFFFF"/>
        <w:lang w:val="en-US"/>
      </w:rPr>
      <w:t>O</w:t>
    </w:r>
    <w:r w:rsidRPr="007B6308">
      <w:rPr>
        <w:rFonts w:cstheme="minorHAnsi"/>
        <w:color w:val="222222"/>
        <w:shd w:val="clear" w:color="auto" w:fill="FFFFFF"/>
        <w:lang w:val="en-US"/>
      </w:rPr>
      <w:t xml:space="preserve">S </w:t>
    </w:r>
    <w:proofErr w:type="spellStart"/>
    <w:r w:rsidRPr="007B6308">
      <w:rPr>
        <w:rFonts w:cstheme="minorHAnsi"/>
        <w:color w:val="222222"/>
        <w:shd w:val="clear" w:color="auto" w:fill="FFFFFF"/>
        <w:lang w:val="en-US"/>
      </w:rPr>
      <w:t>Negl</w:t>
    </w:r>
    <w:proofErr w:type="spellEnd"/>
    <w:r w:rsidRPr="007B6308">
      <w:rPr>
        <w:rFonts w:cstheme="minorHAnsi"/>
        <w:color w:val="222222"/>
        <w:shd w:val="clear" w:color="auto" w:fill="FFFFFF"/>
        <w:lang w:val="en-US"/>
      </w:rPr>
      <w:t xml:space="preserve"> Trop Dis 14(1</w:t>
    </w:r>
    <w:r w:rsidRPr="007B6308">
      <w:rPr>
        <w:rFonts w:cstheme="minorHAnsi"/>
        <w:color w:val="222222"/>
        <w:shd w:val="clear" w:color="auto" w:fill="FFFFFF"/>
        <w:lang w:val="en-US"/>
      </w:rPr>
      <w:t>)</w:t>
    </w:r>
    <w:bookmarkStart w:id="1" w:name="_GoBack"/>
    <w:bookmarkEnd w:id="1"/>
    <w:r w:rsidRPr="007B6308">
      <w:rPr>
        <w:rFonts w:cstheme="minorHAnsi"/>
        <w:color w:val="222222"/>
        <w:shd w:val="clear" w:color="auto" w:fill="FFFFFF"/>
        <w:lang w:val="en-US"/>
      </w:rPr>
      <w:t>:</w:t>
    </w:r>
    <w:r w:rsidRPr="007B6308">
      <w:rPr>
        <w:rFonts w:cstheme="minorHAnsi"/>
        <w:color w:val="222222"/>
        <w:shd w:val="clear" w:color="auto" w:fill="FFFFFF"/>
        <w:lang w:val="en-US"/>
      </w:rPr>
      <w:t xml:space="preserve"> e0007666. </w:t>
    </w:r>
    <w:hyperlink r:id="rId1" w:tgtFrame="_blank" w:history="1">
      <w:r w:rsidRPr="007B6308">
        <w:rPr>
          <w:rStyle w:val="Lienhypertexte"/>
          <w:rFonts w:cstheme="minorHAnsi"/>
          <w:color w:val="1155CC"/>
          <w:shd w:val="clear" w:color="auto" w:fill="FFFFFF"/>
          <w:lang w:val="en-US"/>
        </w:rPr>
        <w:t>https://doi.org/10.1371/journal.pntd.0007666</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A58CE6" w14:textId="77777777" w:rsidR="007B6308" w:rsidRDefault="007B630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0DFE9F" w14:textId="77777777" w:rsidR="009A0291" w:rsidRDefault="009A0291" w:rsidP="009D6585">
      <w:pPr>
        <w:spacing w:after="0" w:line="240" w:lineRule="auto"/>
      </w:pPr>
      <w:r>
        <w:separator/>
      </w:r>
    </w:p>
  </w:footnote>
  <w:footnote w:type="continuationSeparator" w:id="0">
    <w:p w14:paraId="2E283563" w14:textId="77777777" w:rsidR="009A0291" w:rsidRDefault="009A0291" w:rsidP="009D6585">
      <w:pPr>
        <w:spacing w:after="0" w:line="240" w:lineRule="auto"/>
      </w:pPr>
      <w:r>
        <w:continuationSeparator/>
      </w:r>
    </w:p>
  </w:footnote>
  <w:footnote w:id="1">
    <w:p w14:paraId="403B39E0" w14:textId="47FDC1BE" w:rsidR="004A684C" w:rsidRPr="004A684C" w:rsidRDefault="004A684C">
      <w:pPr>
        <w:pStyle w:val="Notedebasdepage"/>
        <w:rPr>
          <w:lang w:val="fr-CD"/>
        </w:rPr>
      </w:pPr>
      <w:r>
        <w:rPr>
          <w:rStyle w:val="Appelnotedebasdep"/>
        </w:rPr>
        <w:footnoteRef/>
      </w:r>
      <w:r w:rsidRPr="004A684C">
        <w:t>Groupe d'économie du développement, Université de Wageningen, Wageningen, Pays-Bas</w:t>
      </w:r>
      <w:r>
        <w:t xml:space="preserve"> </w:t>
      </w:r>
    </w:p>
  </w:footnote>
  <w:footnote w:id="2">
    <w:p w14:paraId="5C0772AA" w14:textId="6F659D53" w:rsidR="004A684C" w:rsidRDefault="004A684C">
      <w:pPr>
        <w:pStyle w:val="Notedebasdepage"/>
      </w:pPr>
      <w:r>
        <w:rPr>
          <w:rStyle w:val="Appelnotedebasdep"/>
        </w:rPr>
        <w:footnoteRef/>
      </w:r>
      <w:r>
        <w:t xml:space="preserve"> </w:t>
      </w:r>
      <w:r w:rsidR="008C2990" w:rsidRPr="008C2990">
        <w:t>Groupe "Connaissance, technologie et innovation", Université de Wageningen, Wageningen, Pays-Bas</w:t>
      </w:r>
    </w:p>
    <w:p w14:paraId="28515CBC" w14:textId="374971C6" w:rsidR="008C2990" w:rsidRPr="004A684C" w:rsidRDefault="008C2990">
      <w:pPr>
        <w:pStyle w:val="Notedebasdepage"/>
        <w:rPr>
          <w:lang w:val="fr-CD"/>
        </w:rPr>
      </w:pPr>
      <w:r>
        <w:rPr>
          <w:rFonts w:cstheme="minorHAnsi"/>
        </w:rPr>
        <w:t xml:space="preserve">* </w:t>
      </w:r>
      <w:hyperlink r:id="rId1" w:history="1">
        <w:r w:rsidRPr="00517B40">
          <w:rPr>
            <w:rStyle w:val="Lienhypertexte"/>
            <w:rFonts w:cstheme="minorHAnsi"/>
          </w:rPr>
          <w:t>Harro.Maat@wur.nl</w:t>
        </w:r>
      </w:hyperlink>
      <w:r>
        <w:rPr>
          <w:rFonts w:cstheme="minorHAnsi"/>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93C27" w14:textId="77777777" w:rsidR="007B6308" w:rsidRDefault="007B6308">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A0AFB" w14:textId="7F392549" w:rsidR="009D6585" w:rsidRDefault="009D6585" w:rsidP="009D6585">
    <w:pPr>
      <w:pStyle w:val="En-tte"/>
      <w:ind w:left="-709"/>
    </w:pPr>
    <w:r>
      <w:rPr>
        <w:noProof/>
      </w:rPr>
      <mc:AlternateContent>
        <mc:Choice Requires="wps">
          <w:drawing>
            <wp:anchor distT="0" distB="0" distL="114300" distR="114300" simplePos="0" relativeHeight="251659264" behindDoc="0" locked="0" layoutInCell="1" allowOverlap="1" wp14:anchorId="0A0E9930" wp14:editId="6550C58D">
              <wp:simplePos x="0" y="0"/>
              <wp:positionH relativeFrom="column">
                <wp:posOffset>-449922</wp:posOffset>
              </wp:positionH>
              <wp:positionV relativeFrom="paragraph">
                <wp:posOffset>492662</wp:posOffset>
              </wp:positionV>
              <wp:extent cx="6768612" cy="0"/>
              <wp:effectExtent l="0" t="19050" r="32385" b="19050"/>
              <wp:wrapNone/>
              <wp:docPr id="2" name="Connecteur droit 2"/>
              <wp:cNvGraphicFramePr/>
              <a:graphic xmlns:a="http://schemas.openxmlformats.org/drawingml/2006/main">
                <a:graphicData uri="http://schemas.microsoft.com/office/word/2010/wordprocessingShape">
                  <wps:wsp>
                    <wps:cNvCnPr/>
                    <wps:spPr>
                      <a:xfrm>
                        <a:off x="0" y="0"/>
                        <a:ext cx="6768612" cy="0"/>
                      </a:xfrm>
                      <a:prstGeom prst="line">
                        <a:avLst/>
                      </a:prstGeom>
                      <a:ln w="28575">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BD8565" id="Connecteur droit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45pt,38.8pt" to="497.5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" strokecolor="#7030a0" strokeweight="2.25pt">
              <v:stroke joinstyle="miter"/>
            </v:line>
          </w:pict>
        </mc:Fallback>
      </mc:AlternateContent>
    </w:r>
    <w:r>
      <w:rPr>
        <w:noProof/>
      </w:rPr>
      <w:drawing>
        <wp:inline distT="0" distB="0" distL="0" distR="0" wp14:anchorId="41D89586" wp14:editId="34FEF0AC">
          <wp:extent cx="3341077" cy="42589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94007" cy="432641"/>
                  </a:xfrm>
                  <a:prstGeom prst="rect">
                    <a:avLst/>
                  </a:prstGeom>
                  <a:noFill/>
                  <a:ln>
                    <a:noFill/>
                  </a:ln>
                </pic:spPr>
              </pic:pic>
            </a:graphicData>
          </a:graphic>
        </wp:inline>
      </w:drawing>
    </w:r>
  </w:p>
  <w:p w14:paraId="4E585FA0" w14:textId="77777777" w:rsidR="009D6585" w:rsidRDefault="009D6585" w:rsidP="009D6585">
    <w:pPr>
      <w:pStyle w:val="En-tte"/>
      <w:ind w:left="-70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9B70B" w14:textId="77777777" w:rsidR="007B6308" w:rsidRDefault="007B630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264FF"/>
    <w:multiLevelType w:val="hybridMultilevel"/>
    <w:tmpl w:val="8EC2448A"/>
    <w:lvl w:ilvl="0" w:tplc="240C000F">
      <w:start w:val="1"/>
      <w:numFmt w:val="decimal"/>
      <w:lvlText w:val="%1."/>
      <w:lvlJc w:val="left"/>
      <w:pPr>
        <w:ind w:left="720" w:hanging="360"/>
      </w:pPr>
    </w:lvl>
    <w:lvl w:ilvl="1" w:tplc="240C0019" w:tentative="1">
      <w:start w:val="1"/>
      <w:numFmt w:val="lowerLetter"/>
      <w:lvlText w:val="%2."/>
      <w:lvlJc w:val="left"/>
      <w:pPr>
        <w:ind w:left="1440" w:hanging="360"/>
      </w:pPr>
    </w:lvl>
    <w:lvl w:ilvl="2" w:tplc="240C001B" w:tentative="1">
      <w:start w:val="1"/>
      <w:numFmt w:val="lowerRoman"/>
      <w:lvlText w:val="%3."/>
      <w:lvlJc w:val="right"/>
      <w:pPr>
        <w:ind w:left="2160" w:hanging="180"/>
      </w:pPr>
    </w:lvl>
    <w:lvl w:ilvl="3" w:tplc="240C000F" w:tentative="1">
      <w:start w:val="1"/>
      <w:numFmt w:val="decimal"/>
      <w:lvlText w:val="%4."/>
      <w:lvlJc w:val="left"/>
      <w:pPr>
        <w:ind w:left="2880" w:hanging="360"/>
      </w:pPr>
    </w:lvl>
    <w:lvl w:ilvl="4" w:tplc="240C0019" w:tentative="1">
      <w:start w:val="1"/>
      <w:numFmt w:val="lowerLetter"/>
      <w:lvlText w:val="%5."/>
      <w:lvlJc w:val="left"/>
      <w:pPr>
        <w:ind w:left="3600" w:hanging="360"/>
      </w:pPr>
    </w:lvl>
    <w:lvl w:ilvl="5" w:tplc="240C001B" w:tentative="1">
      <w:start w:val="1"/>
      <w:numFmt w:val="lowerRoman"/>
      <w:lvlText w:val="%6."/>
      <w:lvlJc w:val="right"/>
      <w:pPr>
        <w:ind w:left="4320" w:hanging="180"/>
      </w:pPr>
    </w:lvl>
    <w:lvl w:ilvl="6" w:tplc="240C000F" w:tentative="1">
      <w:start w:val="1"/>
      <w:numFmt w:val="decimal"/>
      <w:lvlText w:val="%7."/>
      <w:lvlJc w:val="left"/>
      <w:pPr>
        <w:ind w:left="5040" w:hanging="360"/>
      </w:pPr>
    </w:lvl>
    <w:lvl w:ilvl="7" w:tplc="240C0019" w:tentative="1">
      <w:start w:val="1"/>
      <w:numFmt w:val="lowerLetter"/>
      <w:lvlText w:val="%8."/>
      <w:lvlJc w:val="left"/>
      <w:pPr>
        <w:ind w:left="5760" w:hanging="360"/>
      </w:pPr>
    </w:lvl>
    <w:lvl w:ilvl="8" w:tplc="240C001B" w:tentative="1">
      <w:start w:val="1"/>
      <w:numFmt w:val="lowerRoman"/>
      <w:lvlText w:val="%9."/>
      <w:lvlJc w:val="right"/>
      <w:pPr>
        <w:ind w:left="6480" w:hanging="180"/>
      </w:pPr>
    </w:lvl>
  </w:abstractNum>
  <w:abstractNum w:abstractNumId="1" w15:restartNumberingAfterBreak="0">
    <w:nsid w:val="23C15A86"/>
    <w:multiLevelType w:val="hybridMultilevel"/>
    <w:tmpl w:val="6E04EF24"/>
    <w:lvl w:ilvl="0" w:tplc="240C001B">
      <w:start w:val="1"/>
      <w:numFmt w:val="lowerRoman"/>
      <w:lvlText w:val="%1."/>
      <w:lvlJc w:val="right"/>
      <w:pPr>
        <w:ind w:left="720" w:hanging="360"/>
      </w:pPr>
    </w:lvl>
    <w:lvl w:ilvl="1" w:tplc="240C0019" w:tentative="1">
      <w:start w:val="1"/>
      <w:numFmt w:val="lowerLetter"/>
      <w:lvlText w:val="%2."/>
      <w:lvlJc w:val="left"/>
      <w:pPr>
        <w:ind w:left="1440" w:hanging="360"/>
      </w:pPr>
    </w:lvl>
    <w:lvl w:ilvl="2" w:tplc="240C001B" w:tentative="1">
      <w:start w:val="1"/>
      <w:numFmt w:val="lowerRoman"/>
      <w:lvlText w:val="%3."/>
      <w:lvlJc w:val="right"/>
      <w:pPr>
        <w:ind w:left="2160" w:hanging="180"/>
      </w:pPr>
    </w:lvl>
    <w:lvl w:ilvl="3" w:tplc="240C000F" w:tentative="1">
      <w:start w:val="1"/>
      <w:numFmt w:val="decimal"/>
      <w:lvlText w:val="%4."/>
      <w:lvlJc w:val="left"/>
      <w:pPr>
        <w:ind w:left="2880" w:hanging="360"/>
      </w:pPr>
    </w:lvl>
    <w:lvl w:ilvl="4" w:tplc="240C0019" w:tentative="1">
      <w:start w:val="1"/>
      <w:numFmt w:val="lowerLetter"/>
      <w:lvlText w:val="%5."/>
      <w:lvlJc w:val="left"/>
      <w:pPr>
        <w:ind w:left="3600" w:hanging="360"/>
      </w:pPr>
    </w:lvl>
    <w:lvl w:ilvl="5" w:tplc="240C001B" w:tentative="1">
      <w:start w:val="1"/>
      <w:numFmt w:val="lowerRoman"/>
      <w:lvlText w:val="%6."/>
      <w:lvlJc w:val="right"/>
      <w:pPr>
        <w:ind w:left="4320" w:hanging="180"/>
      </w:pPr>
    </w:lvl>
    <w:lvl w:ilvl="6" w:tplc="240C000F" w:tentative="1">
      <w:start w:val="1"/>
      <w:numFmt w:val="decimal"/>
      <w:lvlText w:val="%7."/>
      <w:lvlJc w:val="left"/>
      <w:pPr>
        <w:ind w:left="5040" w:hanging="360"/>
      </w:pPr>
    </w:lvl>
    <w:lvl w:ilvl="7" w:tplc="240C0019" w:tentative="1">
      <w:start w:val="1"/>
      <w:numFmt w:val="lowerLetter"/>
      <w:lvlText w:val="%8."/>
      <w:lvlJc w:val="left"/>
      <w:pPr>
        <w:ind w:left="5760" w:hanging="360"/>
      </w:pPr>
    </w:lvl>
    <w:lvl w:ilvl="8" w:tplc="2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BCE"/>
    <w:rsid w:val="00032BF7"/>
    <w:rsid w:val="00067A0F"/>
    <w:rsid w:val="00175A0D"/>
    <w:rsid w:val="00343C1B"/>
    <w:rsid w:val="003D59E1"/>
    <w:rsid w:val="00436D7D"/>
    <w:rsid w:val="004A684C"/>
    <w:rsid w:val="004F6BC0"/>
    <w:rsid w:val="005D3B6A"/>
    <w:rsid w:val="0067617F"/>
    <w:rsid w:val="006A6B97"/>
    <w:rsid w:val="006F3D2A"/>
    <w:rsid w:val="00742BCE"/>
    <w:rsid w:val="00751701"/>
    <w:rsid w:val="007922DF"/>
    <w:rsid w:val="007B6308"/>
    <w:rsid w:val="007C1FD9"/>
    <w:rsid w:val="007E34D4"/>
    <w:rsid w:val="00827C38"/>
    <w:rsid w:val="008B56FD"/>
    <w:rsid w:val="008C2990"/>
    <w:rsid w:val="008F5B03"/>
    <w:rsid w:val="00933357"/>
    <w:rsid w:val="00992BEC"/>
    <w:rsid w:val="009A0291"/>
    <w:rsid w:val="009C4F19"/>
    <w:rsid w:val="009D6585"/>
    <w:rsid w:val="00AD18DA"/>
    <w:rsid w:val="00B457F0"/>
    <w:rsid w:val="00B61261"/>
    <w:rsid w:val="00C2681F"/>
    <w:rsid w:val="00C67883"/>
    <w:rsid w:val="00D10A1A"/>
    <w:rsid w:val="00E274E0"/>
    <w:rsid w:val="00E53172"/>
    <w:rsid w:val="00E74015"/>
    <w:rsid w:val="00E82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BA4B5D"/>
  <w15:chartTrackingRefBased/>
  <w15:docId w15:val="{1DD5A02F-BFC3-4737-B269-2EB64A3C3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D6585"/>
    <w:pPr>
      <w:tabs>
        <w:tab w:val="center" w:pos="4703"/>
        <w:tab w:val="right" w:pos="9406"/>
      </w:tabs>
      <w:spacing w:after="0" w:line="240" w:lineRule="auto"/>
    </w:pPr>
  </w:style>
  <w:style w:type="character" w:customStyle="1" w:styleId="En-tteCar">
    <w:name w:val="En-tête Car"/>
    <w:basedOn w:val="Policepardfaut"/>
    <w:link w:val="En-tte"/>
    <w:uiPriority w:val="99"/>
    <w:rsid w:val="009D6585"/>
    <w:rPr>
      <w:lang w:val="fr-FR"/>
    </w:rPr>
  </w:style>
  <w:style w:type="paragraph" w:styleId="Pieddepage">
    <w:name w:val="footer"/>
    <w:basedOn w:val="Normal"/>
    <w:link w:val="PieddepageCar"/>
    <w:uiPriority w:val="99"/>
    <w:unhideWhenUsed/>
    <w:rsid w:val="009D6585"/>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9D6585"/>
    <w:rPr>
      <w:lang w:val="fr-FR"/>
    </w:rPr>
  </w:style>
  <w:style w:type="character" w:styleId="Lienhypertexte">
    <w:name w:val="Hyperlink"/>
    <w:basedOn w:val="Policepardfaut"/>
    <w:uiPriority w:val="99"/>
    <w:unhideWhenUsed/>
    <w:rsid w:val="004A684C"/>
    <w:rPr>
      <w:color w:val="0563C1" w:themeColor="hyperlink"/>
      <w:u w:val="single"/>
    </w:rPr>
  </w:style>
  <w:style w:type="character" w:styleId="Mentionnonrsolue">
    <w:name w:val="Unresolved Mention"/>
    <w:basedOn w:val="Policepardfaut"/>
    <w:uiPriority w:val="99"/>
    <w:semiHidden/>
    <w:unhideWhenUsed/>
    <w:rsid w:val="004A684C"/>
    <w:rPr>
      <w:color w:val="605E5C"/>
      <w:shd w:val="clear" w:color="auto" w:fill="E1DFDD"/>
    </w:rPr>
  </w:style>
  <w:style w:type="paragraph" w:styleId="Notedebasdepage">
    <w:name w:val="footnote text"/>
    <w:basedOn w:val="Normal"/>
    <w:link w:val="NotedebasdepageCar"/>
    <w:uiPriority w:val="99"/>
    <w:semiHidden/>
    <w:unhideWhenUsed/>
    <w:rsid w:val="004A684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A684C"/>
    <w:rPr>
      <w:sz w:val="20"/>
      <w:szCs w:val="20"/>
      <w:lang w:val="fr-FR"/>
    </w:rPr>
  </w:style>
  <w:style w:type="character" w:styleId="Appelnotedebasdep">
    <w:name w:val="footnote reference"/>
    <w:basedOn w:val="Policepardfaut"/>
    <w:uiPriority w:val="99"/>
    <w:semiHidden/>
    <w:unhideWhenUsed/>
    <w:rsid w:val="004A684C"/>
    <w:rPr>
      <w:vertAlign w:val="superscript"/>
    </w:rPr>
  </w:style>
  <w:style w:type="paragraph" w:styleId="Paragraphedeliste">
    <w:name w:val="List Paragraph"/>
    <w:basedOn w:val="Normal"/>
    <w:uiPriority w:val="34"/>
    <w:qFormat/>
    <w:rsid w:val="006F3D2A"/>
    <w:pPr>
      <w:ind w:left="720"/>
      <w:contextualSpacing/>
    </w:pPr>
  </w:style>
  <w:style w:type="table" w:styleId="Grilledutableau">
    <w:name w:val="Table Grid"/>
    <w:basedOn w:val="TableauNormal"/>
    <w:uiPriority w:val="39"/>
    <w:rsid w:val="007922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8B56FD"/>
    <w:pPr>
      <w:pBdr>
        <w:top w:val="nil"/>
        <w:left w:val="nil"/>
        <w:bottom w:val="nil"/>
        <w:right w:val="nil"/>
        <w:between w:val="nil"/>
        <w:bar w:val="nil"/>
      </w:pBdr>
    </w:pPr>
    <w:rPr>
      <w:rFonts w:ascii="Calibri" w:eastAsia="Calibri" w:hAnsi="Calibri" w:cs="Calibri"/>
      <w:color w:val="000000"/>
      <w:u w:color="000000"/>
      <w:bdr w:val="nil"/>
      <w:lang w:val="de-D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371/journal.pntd.0007666.t001" TargetMode="External"/><Relationship Id="rId13" Type="http://schemas.openxmlformats.org/officeDocument/2006/relationships/hyperlink" Target="https://doi.org/10.1136/bmj.g6788" TargetMode="External"/><Relationship Id="rId18" Type="http://schemas.openxmlformats.org/officeDocument/2006/relationships/hyperlink" Target="https://doi.org/10.1371/journal.pone.022451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bola-anthropology.net/" TargetMode="External"/><Relationship Id="rId17" Type="http://schemas.openxmlformats.org/officeDocument/2006/relationships/hyperlink" Target="https://doi.org/10.1093/afraf/adr019"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doi.org/10.1093/pubmed/fdw131"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371/journal.pntd.0003567"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doi.org/10.1186/s12992-018-0383-4" TargetMode="External"/><Relationship Id="rId23" Type="http://schemas.openxmlformats.org/officeDocument/2006/relationships/footer" Target="footer2.xml"/><Relationship Id="rId10" Type="http://schemas.openxmlformats.org/officeDocument/2006/relationships/hyperlink" Target="https://doi.org/10.1038/515192a" TargetMode="External"/><Relationship Id="rId19" Type="http://schemas.openxmlformats.org/officeDocument/2006/relationships/hyperlink" Target="https://doi.org/10.1007/s10900-017-0398-4" TargetMode="External"/><Relationship Id="rId4" Type="http://schemas.openxmlformats.org/officeDocument/2006/relationships/settings" Target="settings.xml"/><Relationship Id="rId9" Type="http://schemas.openxmlformats.org/officeDocument/2006/relationships/hyperlink" Target="https://doi.org/10.2105/AJPH.2015.303020" TargetMode="External"/><Relationship Id="rId14" Type="http://schemas.openxmlformats.org/officeDocument/2006/relationships/hyperlink" Target="https://doi.org/10.1016/s0140-6736(01)05550-7" TargetMode="External"/><Relationship Id="rId22" Type="http://schemas.openxmlformats.org/officeDocument/2006/relationships/footer" Target="foot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doi.org/10.1371/journal.pntd.000766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Harro.Maat@wur.n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000E3-EC5A-4446-B8D1-F66DE95EA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561</TotalTime>
  <Pages>21</Pages>
  <Words>9305</Words>
  <Characters>51182</Characters>
  <Application>Microsoft Office Word</Application>
  <DocSecurity>0</DocSecurity>
  <Lines>426</Lines>
  <Paragraphs>120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5</cp:revision>
  <dcterms:created xsi:type="dcterms:W3CDTF">2020-01-28T07:56:00Z</dcterms:created>
  <dcterms:modified xsi:type="dcterms:W3CDTF">2020-02-03T14:31:00Z</dcterms:modified>
</cp:coreProperties>
</file>